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4007A" w14:textId="10325A94" w:rsidR="00060C90" w:rsidRPr="00C95289" w:rsidRDefault="00881154" w:rsidP="00F04192">
      <w:pPr>
        <w:spacing w:before="100" w:beforeAutospacing="1" w:after="240" w:line="240" w:lineRule="auto"/>
        <w:contextualSpacing/>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shd w:val="clear" w:color="auto" w:fill="E6E6E6"/>
        </w:rPr>
        <w:t>HPBS Workshop Agenda</w:t>
      </w:r>
    </w:p>
    <w:p w14:paraId="7D64007B"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5.0.1</w:t>
      </w:r>
      <w:r w:rsidRPr="00C95289">
        <w:rPr>
          <w:rFonts w:ascii="Times New Roman" w:eastAsia="Times New Roman" w:hAnsi="Times New Roman" w:cs="Times New Roman"/>
          <w:sz w:val="24"/>
          <w:szCs w:val="24"/>
        </w:rPr>
        <w:tab/>
        <w:t>Intent</w:t>
      </w:r>
    </w:p>
    <w:p w14:paraId="7D64007C"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The intent of the High Performance Building Standard is to improve building performance, and reduce the total cost of ownership for the State of Utah. The State of Utah and State Agencies own and operate buildings for the total life of the building, which is forty years, minimum, and optimally 100 years and beyond. </w:t>
      </w:r>
    </w:p>
    <w:p w14:paraId="7D64007D" w14:textId="56804A33"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The cost of acquisition or construction of a new building </w:t>
      </w:r>
      <w:r w:rsidR="44302A3A" w:rsidRPr="00C95289">
        <w:rPr>
          <w:rFonts w:ascii="Times New Roman" w:eastAsia="Times New Roman" w:hAnsi="Times New Roman" w:cs="Times New Roman"/>
          <w:sz w:val="24"/>
          <w:szCs w:val="24"/>
        </w:rPr>
        <w:t>is</w:t>
      </w:r>
      <w:r w:rsidRPr="00C95289">
        <w:rPr>
          <w:rFonts w:ascii="Times New Roman" w:eastAsia="Times New Roman" w:hAnsi="Times New Roman" w:cs="Times New Roman"/>
          <w:sz w:val="24"/>
          <w:szCs w:val="24"/>
        </w:rPr>
        <w:t xml:space="preserve"> typically only 2% of the overall cost of ownership, over the life </w:t>
      </w:r>
      <w:r w:rsidR="00B274D3" w:rsidRPr="00C95289">
        <w:rPr>
          <w:rFonts w:ascii="Times New Roman" w:eastAsia="Times New Roman" w:hAnsi="Times New Roman" w:cs="Times New Roman"/>
          <w:sz w:val="24"/>
          <w:szCs w:val="24"/>
        </w:rPr>
        <w:t xml:space="preserve">of </w:t>
      </w:r>
      <w:r w:rsidRPr="00C95289">
        <w:rPr>
          <w:rFonts w:ascii="Times New Roman" w:eastAsia="Times New Roman" w:hAnsi="Times New Roman" w:cs="Times New Roman"/>
          <w:sz w:val="24"/>
          <w:szCs w:val="24"/>
        </w:rPr>
        <w:t>a building. Beyond this initial cost of ownership, approximately 6% of the lifetime cost of ownership goes to fuel costs</w:t>
      </w:r>
      <w:r w:rsidR="000A206B" w:rsidRPr="00C95289">
        <w:rPr>
          <w:rFonts w:ascii="Times New Roman" w:eastAsia="Times New Roman" w:hAnsi="Times New Roman" w:cs="Times New Roman"/>
          <w:sz w:val="24"/>
          <w:szCs w:val="24"/>
        </w:rPr>
        <w:t>,</w:t>
      </w:r>
      <w:r w:rsidRPr="00C95289">
        <w:rPr>
          <w:rFonts w:ascii="Times New Roman" w:eastAsia="Times New Roman" w:hAnsi="Times New Roman" w:cs="Times New Roman"/>
          <w:sz w:val="24"/>
          <w:szCs w:val="24"/>
        </w:rPr>
        <w:t xml:space="preserve"> operations, maintenance, repair costs</w:t>
      </w:r>
      <w:r w:rsidR="000A206B" w:rsidRPr="00C95289">
        <w:rPr>
          <w:rFonts w:ascii="Times New Roman" w:eastAsia="Times New Roman" w:hAnsi="Times New Roman" w:cs="Times New Roman"/>
          <w:sz w:val="24"/>
          <w:szCs w:val="24"/>
        </w:rPr>
        <w:t>,</w:t>
      </w:r>
      <w:r w:rsidRPr="00C95289">
        <w:rPr>
          <w:rFonts w:ascii="Times New Roman" w:eastAsia="Times New Roman" w:hAnsi="Times New Roman" w:cs="Times New Roman"/>
          <w:sz w:val="24"/>
          <w:szCs w:val="24"/>
        </w:rPr>
        <w:t xml:space="preserve"> finance charges</w:t>
      </w:r>
      <w:r w:rsidR="000A206B" w:rsidRPr="00C95289">
        <w:rPr>
          <w:rFonts w:ascii="Times New Roman" w:eastAsia="Times New Roman" w:hAnsi="Times New Roman" w:cs="Times New Roman"/>
          <w:sz w:val="24"/>
          <w:szCs w:val="24"/>
        </w:rPr>
        <w:t>,</w:t>
      </w:r>
      <w:r w:rsidRPr="00C95289">
        <w:rPr>
          <w:rFonts w:ascii="Times New Roman" w:eastAsia="Times New Roman" w:hAnsi="Times New Roman" w:cs="Times New Roman"/>
          <w:sz w:val="24"/>
          <w:szCs w:val="24"/>
        </w:rPr>
        <w:t xml:space="preserve"> and non-monetary costs. The remaining 92% of the cost of ownership is personnel costs. </w:t>
      </w:r>
      <w:r w:rsidRPr="00C95289">
        <w:rPr>
          <w:rFonts w:ascii="Times New Roman" w:eastAsia="Times New Roman" w:hAnsi="Times New Roman" w:cs="Times New Roman"/>
          <w:sz w:val="24"/>
          <w:szCs w:val="24"/>
          <w:vertAlign w:val="superscript"/>
        </w:rPr>
        <w:footnoteReference w:id="2"/>
      </w:r>
      <w:r w:rsidRPr="00C95289">
        <w:rPr>
          <w:rFonts w:ascii="Times New Roman" w:eastAsia="Times New Roman" w:hAnsi="Times New Roman" w:cs="Times New Roman"/>
          <w:sz w:val="24"/>
          <w:szCs w:val="24"/>
        </w:rPr>
        <w:t xml:space="preserve"> </w:t>
      </w:r>
    </w:p>
    <w:p w14:paraId="7D64007E"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The key elements of building and site design that impact the ongoing cost of ownership include: </w:t>
      </w:r>
    </w:p>
    <w:p w14:paraId="7D64007F" w14:textId="77777777" w:rsidR="00060C90" w:rsidRPr="00C95289" w:rsidRDefault="004235C4" w:rsidP="008362D9">
      <w:pPr>
        <w:numPr>
          <w:ilvl w:val="0"/>
          <w:numId w:val="1"/>
        </w:numPr>
        <w:pBdr>
          <w:top w:val="nil"/>
          <w:left w:val="nil"/>
          <w:bottom w:val="nil"/>
          <w:right w:val="nil"/>
          <w:between w:val="nil"/>
        </w:pBd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Building energy utilization (utility bills)</w:t>
      </w:r>
    </w:p>
    <w:p w14:paraId="7D640080" w14:textId="77777777" w:rsidR="00060C90" w:rsidRPr="00C95289" w:rsidRDefault="004235C4" w:rsidP="008362D9">
      <w:pPr>
        <w:numPr>
          <w:ilvl w:val="0"/>
          <w:numId w:val="1"/>
        </w:numPr>
        <w:pBdr>
          <w:top w:val="nil"/>
          <w:left w:val="nil"/>
          <w:bottom w:val="nil"/>
          <w:right w:val="nil"/>
          <w:between w:val="nil"/>
        </w:pBd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System performance and durability (operations and maintenance)</w:t>
      </w:r>
    </w:p>
    <w:p w14:paraId="7D640081" w14:textId="34635D75" w:rsidR="00060C90" w:rsidRPr="00C95289" w:rsidRDefault="004235C4" w:rsidP="008362D9">
      <w:pPr>
        <w:numPr>
          <w:ilvl w:val="0"/>
          <w:numId w:val="1"/>
        </w:numPr>
        <w:pBdr>
          <w:top w:val="nil"/>
          <w:left w:val="nil"/>
          <w:bottom w:val="nil"/>
          <w:right w:val="nil"/>
          <w:between w:val="nil"/>
        </w:pBd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Occupant health and comfort</w:t>
      </w:r>
      <w:r w:rsidR="000A206B" w:rsidRPr="00C95289">
        <w:rPr>
          <w:rFonts w:ascii="Times New Roman" w:eastAsia="Times New Roman" w:hAnsi="Times New Roman" w:cs="Times New Roman"/>
          <w:sz w:val="24"/>
          <w:szCs w:val="24"/>
        </w:rPr>
        <w:t xml:space="preserve"> which impacts employee productivity </w:t>
      </w:r>
    </w:p>
    <w:p w14:paraId="7D640082" w14:textId="76C9A97E"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Recognizing that there are limitations on each project in the form of a fixed project construction budget and schedule, the State of Utah </w:t>
      </w:r>
      <w:r w:rsidR="000A206B" w:rsidRPr="00C95289">
        <w:rPr>
          <w:rFonts w:ascii="Times New Roman" w:eastAsia="Times New Roman" w:hAnsi="Times New Roman" w:cs="Times New Roman"/>
          <w:sz w:val="24"/>
          <w:szCs w:val="24"/>
        </w:rPr>
        <w:t xml:space="preserve">requires </w:t>
      </w:r>
      <w:r w:rsidRPr="00C95289">
        <w:rPr>
          <w:rFonts w:ascii="Times New Roman" w:eastAsia="Times New Roman" w:hAnsi="Times New Roman" w:cs="Times New Roman"/>
          <w:sz w:val="24"/>
          <w:szCs w:val="24"/>
        </w:rPr>
        <w:t xml:space="preserve">each project owner and design team to design and construct new facilities in accordance with the High Performance Design Standard. </w:t>
      </w:r>
    </w:p>
    <w:p w14:paraId="7D64008D"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t>5.1</w:t>
      </w:r>
      <w:r w:rsidRPr="00C95289">
        <w:rPr>
          <w:rFonts w:ascii="Times New Roman" w:eastAsia="Times New Roman" w:hAnsi="Times New Roman" w:cs="Times New Roman"/>
          <w:sz w:val="24"/>
          <w:szCs w:val="24"/>
        </w:rPr>
        <w:tab/>
        <w:t xml:space="preserve"> </w:t>
      </w:r>
      <w:r w:rsidRPr="00C95289">
        <w:rPr>
          <w:rFonts w:ascii="Times New Roman" w:eastAsia="Times New Roman" w:hAnsi="Times New Roman" w:cs="Times New Roman"/>
          <w:b/>
          <w:sz w:val="24"/>
          <w:szCs w:val="24"/>
        </w:rPr>
        <w:t xml:space="preserve">Integrated Design Process </w:t>
      </w:r>
    </w:p>
    <w:p w14:paraId="7D64008F"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Integrated design is the process of engaging a more comprehensive team early in the programming and design processes. </w:t>
      </w:r>
    </w:p>
    <w:p w14:paraId="7D64009E" w14:textId="63A7756D" w:rsidR="00060C90" w:rsidRPr="00F04192" w:rsidRDefault="003B41F0" w:rsidP="008362D9">
      <w:pPr>
        <w:pStyle w:val="ListParagraph"/>
        <w:numPr>
          <w:ilvl w:val="0"/>
          <w:numId w:val="13"/>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OPR Review</w:t>
      </w:r>
    </w:p>
    <w:p w14:paraId="6347DD5A" w14:textId="4CB33BD4" w:rsidR="003B41F0" w:rsidRPr="00F04192" w:rsidRDefault="003B41F0" w:rsidP="008362D9">
      <w:pPr>
        <w:pStyle w:val="ListParagraph"/>
        <w:numPr>
          <w:ilvl w:val="0"/>
          <w:numId w:val="13"/>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BOD Review</w:t>
      </w:r>
    </w:p>
    <w:p w14:paraId="7D6400AC"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t>5.2</w:t>
      </w:r>
      <w:r w:rsidRPr="00C95289">
        <w:rPr>
          <w:rFonts w:ascii="Times New Roman" w:eastAsia="Times New Roman" w:hAnsi="Times New Roman" w:cs="Times New Roman"/>
          <w:b/>
          <w:sz w:val="24"/>
          <w:szCs w:val="24"/>
        </w:rPr>
        <w:tab/>
        <w:t>Community-Oriented Design</w:t>
      </w:r>
    </w:p>
    <w:p w14:paraId="45FD765D" w14:textId="2FB32D1A" w:rsidR="003B41F0" w:rsidRDefault="003B41F0" w:rsidP="00F04192">
      <w:pPr>
        <w:spacing w:before="100" w:beforeAutospacing="1" w:after="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 Discuss Applicable Planning Documents</w:t>
      </w:r>
    </w:p>
    <w:p w14:paraId="1FA949EC" w14:textId="6A852371" w:rsidR="003B41F0" w:rsidRPr="00F04192" w:rsidRDefault="003B41F0" w:rsidP="008362D9">
      <w:pPr>
        <w:pStyle w:val="ListParagraph"/>
        <w:numPr>
          <w:ilvl w:val="0"/>
          <w:numId w:val="12"/>
        </w:numPr>
        <w:spacing w:before="100" w:beforeAutospacing="1" w:after="240" w:line="240" w:lineRule="auto"/>
        <w:ind w:left="720"/>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Building and Massing</w:t>
      </w:r>
    </w:p>
    <w:p w14:paraId="07356A70" w14:textId="77777777" w:rsidR="003B41F0" w:rsidRPr="00F04192" w:rsidRDefault="003B41F0" w:rsidP="008362D9">
      <w:pPr>
        <w:pStyle w:val="ListParagraph"/>
        <w:numPr>
          <w:ilvl w:val="0"/>
          <w:numId w:val="12"/>
        </w:numPr>
        <w:spacing w:before="100" w:beforeAutospacing="1" w:after="240" w:line="240" w:lineRule="auto"/>
        <w:ind w:left="720"/>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Transportation Planning</w:t>
      </w:r>
    </w:p>
    <w:p w14:paraId="0668C392" w14:textId="0F87520D" w:rsidR="003B41F0" w:rsidRPr="00F04192" w:rsidRDefault="003B41F0" w:rsidP="008362D9">
      <w:pPr>
        <w:pStyle w:val="ListParagraph"/>
        <w:numPr>
          <w:ilvl w:val="0"/>
          <w:numId w:val="12"/>
        </w:numPr>
        <w:spacing w:before="100" w:beforeAutospacing="1" w:after="240" w:line="240" w:lineRule="auto"/>
        <w:ind w:left="720"/>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 xml:space="preserve">Connectivity </w:t>
      </w:r>
    </w:p>
    <w:p w14:paraId="5C61C270" w14:textId="77777777" w:rsidR="003B41F0" w:rsidRPr="00F04192" w:rsidRDefault="003B41F0" w:rsidP="008362D9">
      <w:pPr>
        <w:pStyle w:val="ListParagraph"/>
        <w:numPr>
          <w:ilvl w:val="0"/>
          <w:numId w:val="12"/>
        </w:numPr>
        <w:spacing w:before="100" w:beforeAutospacing="1" w:after="240" w:line="240" w:lineRule="auto"/>
        <w:ind w:left="720"/>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Systems Planning</w:t>
      </w:r>
    </w:p>
    <w:p w14:paraId="69A8FE41" w14:textId="4619E468" w:rsidR="003B41F0" w:rsidRPr="00F04192" w:rsidRDefault="003B41F0" w:rsidP="008362D9">
      <w:pPr>
        <w:pStyle w:val="ListParagraph"/>
        <w:numPr>
          <w:ilvl w:val="0"/>
          <w:numId w:val="12"/>
        </w:numPr>
        <w:spacing w:before="100" w:beforeAutospacing="1" w:after="240" w:line="240" w:lineRule="auto"/>
        <w:ind w:left="720"/>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 xml:space="preserve">Environmental Regulations </w:t>
      </w:r>
    </w:p>
    <w:p w14:paraId="7D6400BE"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t>5.3</w:t>
      </w:r>
      <w:r w:rsidRPr="00C95289">
        <w:rPr>
          <w:rFonts w:ascii="Times New Roman" w:eastAsia="Times New Roman" w:hAnsi="Times New Roman" w:cs="Times New Roman"/>
          <w:b/>
          <w:sz w:val="24"/>
          <w:szCs w:val="24"/>
        </w:rPr>
        <w:tab/>
        <w:t>Transportation Management</w:t>
      </w:r>
    </w:p>
    <w:p w14:paraId="7D6400C0"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The project site and building design shall reduce the impacts of single occupant vehicles by promoting alternative transportation and people powered, low-emitting and fuel-efficient vehicles. </w:t>
      </w:r>
    </w:p>
    <w:p w14:paraId="24490B8A" w14:textId="71C24B2E" w:rsidR="003B41F0" w:rsidRPr="00F04192" w:rsidRDefault="003B41F0" w:rsidP="008362D9">
      <w:pPr>
        <w:pStyle w:val="ListParagraph"/>
        <w:numPr>
          <w:ilvl w:val="0"/>
          <w:numId w:val="11"/>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Parking Needs and Approach</w:t>
      </w:r>
    </w:p>
    <w:p w14:paraId="45CB1B85" w14:textId="6B363E12" w:rsidR="003B41F0" w:rsidRPr="00F04192" w:rsidRDefault="003B41F0" w:rsidP="008362D9">
      <w:pPr>
        <w:pStyle w:val="ListParagraph"/>
        <w:numPr>
          <w:ilvl w:val="0"/>
          <w:numId w:val="11"/>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Bicycle Parking Needs and Approach</w:t>
      </w:r>
    </w:p>
    <w:p w14:paraId="44126155" w14:textId="6BDB7214" w:rsidR="003B41F0" w:rsidRPr="00F04192" w:rsidRDefault="003B41F0" w:rsidP="008362D9">
      <w:pPr>
        <w:pStyle w:val="ListParagraph"/>
        <w:numPr>
          <w:ilvl w:val="0"/>
          <w:numId w:val="11"/>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Alternative Transportation Approach</w:t>
      </w:r>
    </w:p>
    <w:p w14:paraId="5CB45D7A" w14:textId="54CDFEE5" w:rsidR="003B41F0" w:rsidRPr="00F04192" w:rsidRDefault="003B41F0" w:rsidP="008362D9">
      <w:pPr>
        <w:pStyle w:val="ListParagraph"/>
        <w:numPr>
          <w:ilvl w:val="0"/>
          <w:numId w:val="11"/>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 xml:space="preserve">Alternative </w:t>
      </w:r>
      <w:r w:rsidR="00881154" w:rsidRPr="00F04192">
        <w:rPr>
          <w:rFonts w:ascii="Times New Roman" w:eastAsia="Times New Roman" w:hAnsi="Times New Roman" w:cs="Times New Roman"/>
          <w:sz w:val="24"/>
          <w:szCs w:val="24"/>
        </w:rPr>
        <w:t>Transportation</w:t>
      </w:r>
      <w:r w:rsidRPr="00F04192">
        <w:rPr>
          <w:rFonts w:ascii="Times New Roman" w:eastAsia="Times New Roman" w:hAnsi="Times New Roman" w:cs="Times New Roman"/>
          <w:sz w:val="24"/>
          <w:szCs w:val="24"/>
        </w:rPr>
        <w:t xml:space="preserve"> Plan / Infrastructure</w:t>
      </w:r>
    </w:p>
    <w:p w14:paraId="7D6400D8"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lastRenderedPageBreak/>
        <w:t>5.4</w:t>
      </w:r>
      <w:r w:rsidRPr="00C95289">
        <w:rPr>
          <w:rFonts w:ascii="Times New Roman" w:eastAsia="Times New Roman" w:hAnsi="Times New Roman" w:cs="Times New Roman"/>
          <w:b/>
          <w:sz w:val="24"/>
          <w:szCs w:val="24"/>
        </w:rPr>
        <w:tab/>
        <w:t>Site Design</w:t>
      </w:r>
    </w:p>
    <w:p w14:paraId="7D6400DA"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Enhance access within the site, improve flow and overall project functionality, and reduce the environmental impacts of the project site design. </w:t>
      </w:r>
    </w:p>
    <w:p w14:paraId="7D6400DC" w14:textId="2A1480F2" w:rsidR="00060C90" w:rsidRPr="00F04192" w:rsidRDefault="004235C4" w:rsidP="008362D9">
      <w:pPr>
        <w:pStyle w:val="ListParagraph"/>
        <w:numPr>
          <w:ilvl w:val="0"/>
          <w:numId w:val="10"/>
        </w:numPr>
        <w:tabs>
          <w:tab w:val="left" w:pos="3960"/>
        </w:tabs>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Building Location and Orientation</w:t>
      </w:r>
    </w:p>
    <w:p w14:paraId="7D6400E6" w14:textId="1E6FBB48" w:rsidR="00060C90" w:rsidRPr="00F04192" w:rsidRDefault="004235C4" w:rsidP="008362D9">
      <w:pPr>
        <w:pStyle w:val="ListParagraph"/>
        <w:numPr>
          <w:ilvl w:val="0"/>
          <w:numId w:val="10"/>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Access and Site Circulation</w:t>
      </w:r>
    </w:p>
    <w:p w14:paraId="7D6400EE" w14:textId="7CBCEB13" w:rsidR="00060C90" w:rsidRPr="00F04192" w:rsidRDefault="004235C4" w:rsidP="008362D9">
      <w:pPr>
        <w:pStyle w:val="ListParagraph"/>
        <w:numPr>
          <w:ilvl w:val="0"/>
          <w:numId w:val="10"/>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Open Space Design</w:t>
      </w:r>
    </w:p>
    <w:p w14:paraId="7D6400F9" w14:textId="51B464F6" w:rsidR="00060C90" w:rsidRPr="00F04192" w:rsidRDefault="004235C4" w:rsidP="008362D9">
      <w:pPr>
        <w:pStyle w:val="ListParagraph"/>
        <w:numPr>
          <w:ilvl w:val="0"/>
          <w:numId w:val="10"/>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Storm Water Management</w:t>
      </w:r>
    </w:p>
    <w:p w14:paraId="7D640104" w14:textId="3780F3C9" w:rsidR="00060C90" w:rsidRPr="00F04192" w:rsidRDefault="004235C4" w:rsidP="008362D9">
      <w:pPr>
        <w:pStyle w:val="ListParagraph"/>
        <w:numPr>
          <w:ilvl w:val="0"/>
          <w:numId w:val="10"/>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Urban Heat-Island Effect</w:t>
      </w:r>
    </w:p>
    <w:p w14:paraId="7D640113" w14:textId="12BD2B00" w:rsidR="00060C90" w:rsidRPr="00F04192" w:rsidRDefault="004235C4" w:rsidP="008362D9">
      <w:pPr>
        <w:pStyle w:val="ListParagraph"/>
        <w:numPr>
          <w:ilvl w:val="0"/>
          <w:numId w:val="10"/>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Light Pollution Reduction</w:t>
      </w:r>
    </w:p>
    <w:p w14:paraId="7D640120" w14:textId="77777777" w:rsidR="00060C90" w:rsidRPr="00C95289" w:rsidRDefault="004235C4" w:rsidP="00F04192">
      <w:pPr>
        <w:tabs>
          <w:tab w:val="left" w:pos="720"/>
        </w:tabs>
        <w:spacing w:before="100" w:beforeAutospacing="1" w:after="240" w:line="240" w:lineRule="auto"/>
        <w:contextualSpacing/>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t>5.5</w:t>
      </w:r>
      <w:r w:rsidRPr="00C95289">
        <w:rPr>
          <w:rFonts w:ascii="Times New Roman" w:eastAsia="Times New Roman" w:hAnsi="Times New Roman" w:cs="Times New Roman"/>
          <w:b/>
          <w:sz w:val="24"/>
          <w:szCs w:val="24"/>
        </w:rPr>
        <w:tab/>
        <w:t>Building Performance</w:t>
      </w:r>
    </w:p>
    <w:p w14:paraId="7D640122" w14:textId="1D4AF1EB" w:rsidR="00060C90" w:rsidRPr="00C95289" w:rsidRDefault="004235C4" w:rsidP="00F04192">
      <w:pPr>
        <w:tabs>
          <w:tab w:val="left" w:pos="2820"/>
        </w:tabs>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l state agencies and institutions shall design, construct, and operate new construction and major renovation, commercial and multi-family high-rise buildings to achieve a measured source EUI less than or equal to a DFCM provided ‘outcome based’ performance target.   The term ‘outcome based’ refers to a policy that is based on the actual measured performance of a building after all energy consuming systems are installed, commissioned, and the building has been occupied for a minimum 12 month period.  The building shall demonstrate a measured source EUI less than or equal to the DFCM provided performance target provided in Appendix </w:t>
      </w:r>
      <w:r w:rsidR="00F90109" w:rsidRPr="00C95289">
        <w:rPr>
          <w:rFonts w:ascii="Times New Roman" w:eastAsia="Times New Roman" w:hAnsi="Times New Roman" w:cs="Times New Roman"/>
          <w:sz w:val="24"/>
          <w:szCs w:val="24"/>
        </w:rPr>
        <w:t>D</w:t>
      </w:r>
      <w:r w:rsidRPr="00C95289">
        <w:rPr>
          <w:rFonts w:ascii="Times New Roman" w:eastAsia="Times New Roman" w:hAnsi="Times New Roman" w:cs="Times New Roman"/>
          <w:sz w:val="24"/>
          <w:szCs w:val="24"/>
        </w:rPr>
        <w:t xml:space="preserve"> for the building type, climate zone, and construction permit date.</w:t>
      </w:r>
    </w:p>
    <w:p w14:paraId="7D640123" w14:textId="668F7CE3" w:rsidR="00060C90" w:rsidRPr="00C95289" w:rsidRDefault="004235C4" w:rsidP="00F04192">
      <w:pPr>
        <w:tabs>
          <w:tab w:val="left" w:pos="2820"/>
        </w:tabs>
        <w:spacing w:before="100" w:beforeAutospacing="1" w:after="240" w:line="240" w:lineRule="auto"/>
        <w:contextualSpacing/>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t>5.5A   Energy Modeling</w:t>
      </w:r>
    </w:p>
    <w:p w14:paraId="7D640125" w14:textId="4E7E486B" w:rsidR="00060C90" w:rsidRPr="00C95289" w:rsidRDefault="004235C4" w:rsidP="00F04192">
      <w:pPr>
        <w:tabs>
          <w:tab w:val="left" w:pos="2820"/>
        </w:tabs>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The design team shall develop a whole building energy model consistent with the requirements of this section using software or alternate methodologies that are approved by the DFCM </w:t>
      </w:r>
      <w:r w:rsidR="00F90109" w:rsidRPr="00C95289">
        <w:rPr>
          <w:rFonts w:ascii="Times New Roman" w:eastAsia="Times New Roman" w:hAnsi="Times New Roman" w:cs="Times New Roman"/>
          <w:sz w:val="24"/>
          <w:szCs w:val="24"/>
        </w:rPr>
        <w:t>Building Performance</w:t>
      </w:r>
      <w:r w:rsidRPr="00C95289">
        <w:rPr>
          <w:rFonts w:ascii="Times New Roman" w:eastAsia="Times New Roman" w:hAnsi="Times New Roman" w:cs="Times New Roman"/>
          <w:sz w:val="24"/>
          <w:szCs w:val="24"/>
        </w:rPr>
        <w:t xml:space="preserve"> Program Director. </w:t>
      </w:r>
    </w:p>
    <w:p w14:paraId="7D640127" w14:textId="4DA9EEBF" w:rsidR="00060C90" w:rsidRPr="00F04192" w:rsidRDefault="00ED2F31" w:rsidP="008362D9">
      <w:pPr>
        <w:pStyle w:val="ListParagraph"/>
        <w:numPr>
          <w:ilvl w:val="0"/>
          <w:numId w:val="9"/>
        </w:numPr>
        <w:tabs>
          <w:tab w:val="left" w:pos="2820"/>
        </w:tabs>
        <w:spacing w:before="100" w:beforeAutospacing="1" w:after="240" w:line="240" w:lineRule="auto"/>
        <w:jc w:val="both"/>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EUI Performance Target Approach</w:t>
      </w:r>
    </w:p>
    <w:p w14:paraId="07D0CE43" w14:textId="717FC50C" w:rsidR="00ED2F31" w:rsidRPr="00F04192" w:rsidRDefault="00ED2F31" w:rsidP="008362D9">
      <w:pPr>
        <w:pStyle w:val="ListParagraph"/>
        <w:numPr>
          <w:ilvl w:val="0"/>
          <w:numId w:val="9"/>
        </w:numPr>
        <w:tabs>
          <w:tab w:val="left" w:pos="2820"/>
        </w:tabs>
        <w:spacing w:before="100" w:beforeAutospacing="1" w:after="240" w:line="240" w:lineRule="auto"/>
        <w:jc w:val="both"/>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Alternative Path of Compliance</w:t>
      </w:r>
    </w:p>
    <w:p w14:paraId="7D64015E" w14:textId="597937D7" w:rsidR="00060C90" w:rsidRPr="00C95289" w:rsidRDefault="00ED2F31" w:rsidP="00F04192">
      <w:pPr>
        <w:spacing w:before="100" w:beforeAutospacing="1" w:after="24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235C4" w:rsidRPr="00C95289">
        <w:rPr>
          <w:rFonts w:ascii="Times New Roman" w:eastAsia="Times New Roman" w:hAnsi="Times New Roman" w:cs="Times New Roman"/>
          <w:b/>
          <w:sz w:val="24"/>
          <w:szCs w:val="24"/>
        </w:rPr>
        <w:t>.5B</w:t>
      </w:r>
      <w:r w:rsidR="004235C4" w:rsidRPr="00C95289">
        <w:rPr>
          <w:rFonts w:ascii="Times New Roman" w:eastAsia="Times New Roman" w:hAnsi="Times New Roman" w:cs="Times New Roman"/>
          <w:b/>
          <w:sz w:val="24"/>
          <w:szCs w:val="24"/>
        </w:rPr>
        <w:tab/>
        <w:t>Water Use Reduction</w:t>
      </w:r>
    </w:p>
    <w:p w14:paraId="7D640160"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Reduce ongoing water utilization through thoughtful and efficient system design. </w:t>
      </w:r>
    </w:p>
    <w:p w14:paraId="7D640162" w14:textId="50CCE8F1" w:rsidR="00060C90" w:rsidRPr="00F04192" w:rsidRDefault="003B41F0" w:rsidP="008362D9">
      <w:pPr>
        <w:pStyle w:val="ListParagraph"/>
        <w:numPr>
          <w:ilvl w:val="0"/>
          <w:numId w:val="8"/>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Lan</w:t>
      </w:r>
      <w:r w:rsidR="004235C4" w:rsidRPr="00F04192">
        <w:rPr>
          <w:rFonts w:ascii="Times New Roman" w:eastAsia="Times New Roman" w:hAnsi="Times New Roman" w:cs="Times New Roman"/>
          <w:sz w:val="24"/>
          <w:szCs w:val="24"/>
        </w:rPr>
        <w:t>dscape Water Use</w:t>
      </w:r>
    </w:p>
    <w:p w14:paraId="7D640165" w14:textId="3C1B816C" w:rsidR="00060C90" w:rsidRPr="00F04192" w:rsidRDefault="00ED2F31" w:rsidP="008362D9">
      <w:pPr>
        <w:pStyle w:val="ListParagraph"/>
        <w:numPr>
          <w:ilvl w:val="0"/>
          <w:numId w:val="8"/>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Landscape Water Budget</w:t>
      </w:r>
    </w:p>
    <w:p w14:paraId="7D64016A" w14:textId="23261247" w:rsidR="00060C90" w:rsidRPr="00F04192" w:rsidRDefault="004235C4" w:rsidP="008362D9">
      <w:pPr>
        <w:pStyle w:val="ListParagraph"/>
        <w:numPr>
          <w:ilvl w:val="0"/>
          <w:numId w:val="8"/>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Plumbing Fixture Water Use</w:t>
      </w:r>
    </w:p>
    <w:p w14:paraId="7D64016C" w14:textId="44A68E96" w:rsidR="00060C90" w:rsidRPr="00F04192" w:rsidRDefault="004235C4" w:rsidP="008362D9">
      <w:pPr>
        <w:pStyle w:val="ListParagraph"/>
        <w:numPr>
          <w:ilvl w:val="0"/>
          <w:numId w:val="8"/>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Process Water Use</w:t>
      </w:r>
    </w:p>
    <w:p w14:paraId="7D640173" w14:textId="77777777" w:rsidR="00060C90" w:rsidRPr="00C95289" w:rsidRDefault="004235C4" w:rsidP="00F04192">
      <w:pPr>
        <w:tabs>
          <w:tab w:val="left" w:pos="540"/>
          <w:tab w:val="left" w:pos="1080"/>
          <w:tab w:val="left" w:pos="1620"/>
        </w:tabs>
        <w:spacing w:before="100" w:beforeAutospacing="1" w:after="240" w:line="240" w:lineRule="auto"/>
        <w:contextualSpacing/>
        <w:jc w:val="both"/>
        <w:rPr>
          <w:rFonts w:ascii="Times New Roman" w:hAnsi="Times New Roman" w:cs="Times New Roman"/>
          <w:b/>
          <w:sz w:val="24"/>
          <w:szCs w:val="24"/>
        </w:rPr>
      </w:pPr>
      <w:r w:rsidRPr="00C95289">
        <w:rPr>
          <w:rFonts w:ascii="Times New Roman" w:hAnsi="Times New Roman" w:cs="Times New Roman"/>
          <w:b/>
          <w:sz w:val="24"/>
          <w:szCs w:val="24"/>
        </w:rPr>
        <w:t xml:space="preserve">5.5C   </w:t>
      </w:r>
      <w:r w:rsidRPr="00C95289">
        <w:rPr>
          <w:rFonts w:ascii="Times New Roman" w:hAnsi="Times New Roman" w:cs="Times New Roman"/>
          <w:b/>
          <w:sz w:val="24"/>
          <w:szCs w:val="24"/>
        </w:rPr>
        <w:tab/>
        <w:t>Building Enclosure Performance / Commissioning</w:t>
      </w:r>
    </w:p>
    <w:p w14:paraId="7D640176" w14:textId="6E45178E" w:rsidR="00060C90" w:rsidRPr="00C95289" w:rsidRDefault="004235C4" w:rsidP="00F04192">
      <w:pPr>
        <w:tabs>
          <w:tab w:val="left" w:pos="540"/>
          <w:tab w:val="left" w:pos="1080"/>
          <w:tab w:val="left" w:pos="1620"/>
        </w:tabs>
        <w:spacing w:before="100" w:beforeAutospacing="1" w:after="240" w:line="240" w:lineRule="auto"/>
        <w:contextualSpacing/>
        <w:jc w:val="both"/>
        <w:rPr>
          <w:rFonts w:ascii="Times New Roman" w:hAnsi="Times New Roman" w:cs="Times New Roman"/>
          <w:sz w:val="24"/>
          <w:szCs w:val="24"/>
        </w:rPr>
      </w:pPr>
      <w:r w:rsidRPr="00C95289">
        <w:rPr>
          <w:rFonts w:ascii="Times New Roman" w:hAnsi="Times New Roman" w:cs="Times New Roman"/>
          <w:sz w:val="24"/>
          <w:szCs w:val="24"/>
        </w:rPr>
        <w:t xml:space="preserve">High performance building enclosures shall be commissioned in general compliance with the most recent version of ASTM E2813, </w:t>
      </w:r>
      <w:r w:rsidRPr="00C95289">
        <w:rPr>
          <w:rFonts w:ascii="Times New Roman" w:hAnsi="Times New Roman" w:cs="Times New Roman"/>
          <w:i/>
          <w:sz w:val="24"/>
          <w:szCs w:val="24"/>
        </w:rPr>
        <w:t>Standard Practice for Building Enclosure Commissioning</w:t>
      </w:r>
      <w:r w:rsidRPr="00C95289">
        <w:rPr>
          <w:rFonts w:ascii="Times New Roman" w:hAnsi="Times New Roman" w:cs="Times New Roman"/>
          <w:sz w:val="24"/>
          <w:szCs w:val="24"/>
        </w:rPr>
        <w:t xml:space="preserve">.  </w:t>
      </w:r>
    </w:p>
    <w:p w14:paraId="0DC520C6" w14:textId="0F1526AF" w:rsidR="00881154" w:rsidRPr="00F04192" w:rsidRDefault="004235C4" w:rsidP="008362D9">
      <w:pPr>
        <w:pStyle w:val="ListParagraph"/>
        <w:numPr>
          <w:ilvl w:val="0"/>
          <w:numId w:val="7"/>
        </w:numPr>
        <w:tabs>
          <w:tab w:val="left" w:pos="540"/>
          <w:tab w:val="left" w:pos="1080"/>
          <w:tab w:val="left" w:pos="1620"/>
        </w:tabs>
        <w:spacing w:before="100" w:beforeAutospacing="1" w:after="240" w:line="240" w:lineRule="auto"/>
        <w:jc w:val="both"/>
        <w:rPr>
          <w:rFonts w:ascii="Times New Roman" w:hAnsi="Times New Roman" w:cs="Times New Roman"/>
          <w:sz w:val="24"/>
          <w:szCs w:val="24"/>
        </w:rPr>
      </w:pPr>
      <w:r w:rsidRPr="00F04192">
        <w:rPr>
          <w:rFonts w:ascii="Times New Roman" w:hAnsi="Times New Roman" w:cs="Times New Roman"/>
          <w:sz w:val="24"/>
          <w:szCs w:val="24"/>
        </w:rPr>
        <w:t xml:space="preserve">Levels of </w:t>
      </w:r>
      <w:proofErr w:type="spellStart"/>
      <w:r w:rsidRPr="00F04192">
        <w:rPr>
          <w:rFonts w:ascii="Times New Roman" w:hAnsi="Times New Roman" w:cs="Times New Roman"/>
          <w:sz w:val="24"/>
          <w:szCs w:val="24"/>
        </w:rPr>
        <w:t>BECx</w:t>
      </w:r>
      <w:proofErr w:type="spellEnd"/>
    </w:p>
    <w:p w14:paraId="7D640294" w14:textId="363DF45A" w:rsidR="00060C90" w:rsidRPr="00F04192" w:rsidRDefault="00ED2F31" w:rsidP="008362D9">
      <w:pPr>
        <w:pStyle w:val="ListParagraph"/>
        <w:numPr>
          <w:ilvl w:val="0"/>
          <w:numId w:val="7"/>
        </w:numPr>
        <w:tabs>
          <w:tab w:val="left" w:pos="540"/>
          <w:tab w:val="left" w:pos="1080"/>
          <w:tab w:val="left" w:pos="1620"/>
        </w:tabs>
        <w:spacing w:before="100" w:beforeAutospacing="1" w:after="240" w:line="240" w:lineRule="auto"/>
        <w:jc w:val="both"/>
        <w:rPr>
          <w:rFonts w:ascii="Times New Roman" w:hAnsi="Times New Roman" w:cs="Times New Roman"/>
          <w:sz w:val="24"/>
          <w:szCs w:val="24"/>
        </w:rPr>
      </w:pPr>
      <w:proofErr w:type="spellStart"/>
      <w:r w:rsidRPr="00F04192">
        <w:rPr>
          <w:rFonts w:ascii="Times New Roman" w:hAnsi="Times New Roman" w:cs="Times New Roman"/>
          <w:sz w:val="24"/>
          <w:szCs w:val="24"/>
        </w:rPr>
        <w:t>BECx</w:t>
      </w:r>
      <w:proofErr w:type="spellEnd"/>
      <w:r w:rsidRPr="00F04192">
        <w:rPr>
          <w:rFonts w:ascii="Times New Roman" w:hAnsi="Times New Roman" w:cs="Times New Roman"/>
          <w:sz w:val="24"/>
          <w:szCs w:val="24"/>
        </w:rPr>
        <w:t xml:space="preserve"> Approach</w:t>
      </w:r>
      <w:r w:rsidR="004235C4" w:rsidRPr="00F04192">
        <w:rPr>
          <w:rFonts w:ascii="Times New Roman" w:hAnsi="Times New Roman" w:cs="Times New Roman"/>
          <w:sz w:val="24"/>
          <w:szCs w:val="24"/>
        </w:rPr>
        <w:t xml:space="preserve"> </w:t>
      </w:r>
    </w:p>
    <w:p w14:paraId="4F149A27" w14:textId="77777777" w:rsidR="009F56F0" w:rsidRDefault="009F56F0" w:rsidP="00F04192">
      <w:pPr>
        <w:tabs>
          <w:tab w:val="left" w:pos="540"/>
          <w:tab w:val="left" w:pos="1080"/>
          <w:tab w:val="left" w:pos="1620"/>
        </w:tabs>
        <w:spacing w:before="100" w:beforeAutospacing="1" w:after="240" w:line="240" w:lineRule="auto"/>
        <w:contextualSpacing/>
        <w:jc w:val="both"/>
        <w:rPr>
          <w:rFonts w:ascii="Times New Roman" w:hAnsi="Times New Roman" w:cs="Times New Roman"/>
          <w:sz w:val="24"/>
          <w:szCs w:val="24"/>
        </w:rPr>
      </w:pPr>
    </w:p>
    <w:p w14:paraId="045E19B8" w14:textId="7DB87692" w:rsidR="00881154" w:rsidRDefault="00881154" w:rsidP="00F04192">
      <w:pPr>
        <w:tabs>
          <w:tab w:val="left" w:pos="540"/>
          <w:tab w:val="left" w:pos="1080"/>
          <w:tab w:val="left" w:pos="1620"/>
        </w:tabs>
        <w:spacing w:before="100" w:beforeAutospacing="1" w:after="240" w:line="240" w:lineRule="auto"/>
        <w:contextualSpacing/>
        <w:jc w:val="both"/>
        <w:rPr>
          <w:rFonts w:ascii="Times New Roman" w:hAnsi="Times New Roman" w:cs="Times New Roman"/>
          <w:sz w:val="24"/>
          <w:szCs w:val="24"/>
        </w:rPr>
      </w:pPr>
    </w:p>
    <w:p w14:paraId="7D6402BA" w14:textId="2BD0CD3B" w:rsidR="00060C90" w:rsidRPr="00C95289" w:rsidRDefault="004235C4" w:rsidP="00F04192">
      <w:pPr>
        <w:tabs>
          <w:tab w:val="left" w:pos="540"/>
          <w:tab w:val="left" w:pos="1080"/>
          <w:tab w:val="left" w:pos="1620"/>
        </w:tabs>
        <w:spacing w:before="100" w:beforeAutospacing="1" w:after="240" w:line="240" w:lineRule="auto"/>
        <w:contextualSpacing/>
        <w:jc w:val="both"/>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lastRenderedPageBreak/>
        <w:t>5.5D</w:t>
      </w:r>
      <w:r w:rsidRPr="00C95289">
        <w:rPr>
          <w:rFonts w:ascii="Times New Roman" w:eastAsia="Times New Roman" w:hAnsi="Times New Roman" w:cs="Times New Roman"/>
          <w:b/>
          <w:sz w:val="24"/>
          <w:szCs w:val="24"/>
        </w:rPr>
        <w:tab/>
        <w:t>Building System Performance / Commissioning</w:t>
      </w:r>
    </w:p>
    <w:p w14:paraId="7D6402BB" w14:textId="33DE5455" w:rsidR="00060C90" w:rsidRPr="00C95289" w:rsidRDefault="004235C4" w:rsidP="00F04192">
      <w:pPr>
        <w:pBdr>
          <w:top w:val="nil"/>
          <w:left w:val="nil"/>
          <w:bottom w:val="nil"/>
          <w:right w:val="nil"/>
          <w:between w:val="nil"/>
        </w:pBdr>
        <w:tabs>
          <w:tab w:val="left" w:pos="720"/>
        </w:tabs>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This section establishes the minimum requirements for all State of Utah, DFCM projects. Each project’s mechanical, electrical, and plumbing systems are to be commissioned to ensure a fully functional building and that the owner’s requirements are met. Additional building systems, e.g. smoke control, renewables, acoustic, security, etc., are to be commissioned as needed on a case-by-case basis. </w:t>
      </w:r>
      <w:r w:rsidR="00714E3A" w:rsidRPr="00C95289">
        <w:rPr>
          <w:rFonts w:ascii="Times New Roman" w:eastAsia="Times New Roman" w:hAnsi="Times New Roman" w:cs="Times New Roman"/>
          <w:sz w:val="24"/>
          <w:szCs w:val="24"/>
        </w:rPr>
        <w:t>P</w:t>
      </w:r>
      <w:r w:rsidR="00CA6041" w:rsidRPr="00C95289">
        <w:rPr>
          <w:rFonts w:ascii="Times New Roman" w:eastAsia="Times New Roman" w:hAnsi="Times New Roman" w:cs="Times New Roman"/>
          <w:sz w:val="24"/>
          <w:szCs w:val="24"/>
        </w:rPr>
        <w:t>roject</w:t>
      </w:r>
      <w:r w:rsidR="00714E3A" w:rsidRPr="00C95289">
        <w:rPr>
          <w:rFonts w:ascii="Times New Roman" w:eastAsia="Times New Roman" w:hAnsi="Times New Roman" w:cs="Times New Roman"/>
          <w:sz w:val="24"/>
          <w:szCs w:val="24"/>
        </w:rPr>
        <w:t>s</w:t>
      </w:r>
      <w:r w:rsidR="00CA6041" w:rsidRPr="00C95289">
        <w:rPr>
          <w:rFonts w:ascii="Times New Roman" w:eastAsia="Times New Roman" w:hAnsi="Times New Roman" w:cs="Times New Roman"/>
          <w:sz w:val="24"/>
          <w:szCs w:val="24"/>
        </w:rPr>
        <w:t xml:space="preserve"> will be</w:t>
      </w:r>
      <w:r w:rsidRPr="00C95289">
        <w:rPr>
          <w:rFonts w:ascii="Times New Roman" w:eastAsia="Times New Roman" w:hAnsi="Times New Roman" w:cs="Times New Roman"/>
          <w:sz w:val="24"/>
          <w:szCs w:val="24"/>
        </w:rPr>
        <w:t xml:space="preserve"> </w:t>
      </w:r>
      <w:r w:rsidR="00CA6041" w:rsidRPr="00C95289">
        <w:rPr>
          <w:rFonts w:ascii="Times New Roman" w:eastAsia="Times New Roman" w:hAnsi="Times New Roman" w:cs="Times New Roman"/>
          <w:sz w:val="24"/>
          <w:szCs w:val="24"/>
        </w:rPr>
        <w:t>commissioned in compliance with the intent of the “Building Commissioning Association’s New Construction Building Commissioning Best Practices”</w:t>
      </w:r>
      <w:r w:rsidR="00714E3A" w:rsidRPr="00C95289">
        <w:rPr>
          <w:rStyle w:val="FootnoteReference"/>
          <w:rFonts w:ascii="Times New Roman" w:eastAsia="Times New Roman" w:hAnsi="Times New Roman" w:cs="Times New Roman"/>
          <w:sz w:val="24"/>
          <w:szCs w:val="24"/>
        </w:rPr>
        <w:footnoteReference w:id="3"/>
      </w:r>
      <w:r w:rsidR="00CA6041" w:rsidRPr="00C95289">
        <w:rPr>
          <w:rFonts w:ascii="Times New Roman" w:eastAsia="Times New Roman" w:hAnsi="Times New Roman" w:cs="Times New Roman"/>
          <w:sz w:val="24"/>
          <w:szCs w:val="24"/>
        </w:rPr>
        <w:t xml:space="preserve"> and in accordance with applicable </w:t>
      </w:r>
      <w:r w:rsidR="00EA59D3" w:rsidRPr="00C95289">
        <w:rPr>
          <w:rFonts w:ascii="Times New Roman" w:eastAsia="Times New Roman" w:hAnsi="Times New Roman" w:cs="Times New Roman"/>
          <w:sz w:val="24"/>
          <w:szCs w:val="24"/>
        </w:rPr>
        <w:t>components</w:t>
      </w:r>
      <w:r w:rsidR="00CA6041" w:rsidRPr="00C95289">
        <w:rPr>
          <w:rFonts w:ascii="Times New Roman" w:eastAsia="Times New Roman" w:hAnsi="Times New Roman" w:cs="Times New Roman"/>
          <w:sz w:val="24"/>
          <w:szCs w:val="24"/>
        </w:rPr>
        <w:t xml:space="preserve"> of </w:t>
      </w:r>
      <w:r w:rsidR="00EA59D3" w:rsidRPr="00C95289">
        <w:rPr>
          <w:rFonts w:ascii="Times New Roman" w:eastAsia="Times New Roman" w:hAnsi="Times New Roman" w:cs="Times New Roman"/>
          <w:sz w:val="24"/>
          <w:szCs w:val="24"/>
        </w:rPr>
        <w:t>“</w:t>
      </w:r>
      <w:r w:rsidR="00A86552" w:rsidRPr="00C95289">
        <w:rPr>
          <w:rFonts w:ascii="Times New Roman" w:eastAsia="Times New Roman" w:hAnsi="Times New Roman" w:cs="Times New Roman"/>
          <w:sz w:val="24"/>
          <w:szCs w:val="24"/>
        </w:rPr>
        <w:t>ASHRAE</w:t>
      </w:r>
      <w:r w:rsidR="00CA6041" w:rsidRPr="00C95289">
        <w:rPr>
          <w:rFonts w:ascii="Times New Roman" w:eastAsia="Times New Roman" w:hAnsi="Times New Roman" w:cs="Times New Roman"/>
          <w:sz w:val="24"/>
          <w:szCs w:val="24"/>
        </w:rPr>
        <w:t xml:space="preserve"> Guideline 0 – The Commissioning Process</w:t>
      </w:r>
      <w:r w:rsidR="00EA59D3" w:rsidRPr="00C95289">
        <w:rPr>
          <w:rFonts w:ascii="Times New Roman" w:eastAsia="Times New Roman" w:hAnsi="Times New Roman" w:cs="Times New Roman"/>
          <w:sz w:val="24"/>
          <w:szCs w:val="24"/>
        </w:rPr>
        <w:t>”</w:t>
      </w:r>
      <w:r w:rsidR="00714E3A" w:rsidRPr="00C95289">
        <w:rPr>
          <w:rStyle w:val="FootnoteReference"/>
          <w:rFonts w:ascii="Times New Roman" w:eastAsia="Times New Roman" w:hAnsi="Times New Roman" w:cs="Times New Roman"/>
          <w:sz w:val="24"/>
          <w:szCs w:val="24"/>
        </w:rPr>
        <w:footnoteReference w:id="4"/>
      </w:r>
      <w:r w:rsidR="00CA6041" w:rsidRPr="00C95289">
        <w:rPr>
          <w:rFonts w:ascii="Times New Roman" w:eastAsia="Times New Roman" w:hAnsi="Times New Roman" w:cs="Times New Roman"/>
          <w:sz w:val="24"/>
          <w:szCs w:val="24"/>
        </w:rPr>
        <w:t xml:space="preserve"> and </w:t>
      </w:r>
      <w:r w:rsidR="00EA59D3" w:rsidRPr="00C95289">
        <w:rPr>
          <w:rFonts w:ascii="Times New Roman" w:eastAsia="Times New Roman" w:hAnsi="Times New Roman" w:cs="Times New Roman"/>
          <w:sz w:val="24"/>
          <w:szCs w:val="24"/>
        </w:rPr>
        <w:t>“</w:t>
      </w:r>
      <w:r w:rsidR="00A86552" w:rsidRPr="00C95289">
        <w:rPr>
          <w:rFonts w:ascii="Times New Roman" w:eastAsia="Times New Roman" w:hAnsi="Times New Roman" w:cs="Times New Roman"/>
          <w:sz w:val="24"/>
          <w:szCs w:val="24"/>
        </w:rPr>
        <w:t>ASHRAE</w:t>
      </w:r>
      <w:r w:rsidR="00CA6041" w:rsidRPr="00C95289">
        <w:rPr>
          <w:rFonts w:ascii="Times New Roman" w:eastAsia="Times New Roman" w:hAnsi="Times New Roman" w:cs="Times New Roman"/>
          <w:sz w:val="24"/>
          <w:szCs w:val="24"/>
        </w:rPr>
        <w:t xml:space="preserve"> Standard 202 </w:t>
      </w:r>
      <w:proofErr w:type="gramStart"/>
      <w:r w:rsidR="00CA6041" w:rsidRPr="00C95289">
        <w:rPr>
          <w:rFonts w:ascii="Times New Roman" w:eastAsia="Times New Roman" w:hAnsi="Times New Roman" w:cs="Times New Roman"/>
          <w:sz w:val="24"/>
          <w:szCs w:val="24"/>
        </w:rPr>
        <w:t>The</w:t>
      </w:r>
      <w:proofErr w:type="gramEnd"/>
      <w:r w:rsidR="00CA6041" w:rsidRPr="00C95289">
        <w:rPr>
          <w:rFonts w:ascii="Times New Roman" w:eastAsia="Times New Roman" w:hAnsi="Times New Roman" w:cs="Times New Roman"/>
          <w:sz w:val="24"/>
          <w:szCs w:val="24"/>
        </w:rPr>
        <w:t xml:space="preserve"> Commissioning Process for Building Systems.</w:t>
      </w:r>
      <w:r w:rsidR="00EA59D3" w:rsidRPr="00C95289">
        <w:rPr>
          <w:rFonts w:ascii="Times New Roman" w:eastAsia="Times New Roman" w:hAnsi="Times New Roman" w:cs="Times New Roman"/>
          <w:sz w:val="24"/>
          <w:szCs w:val="24"/>
        </w:rPr>
        <w:t>”</w:t>
      </w:r>
      <w:r w:rsidR="00714E3A" w:rsidRPr="00C95289">
        <w:rPr>
          <w:rStyle w:val="FootnoteReference"/>
          <w:rFonts w:ascii="Times New Roman" w:eastAsia="Times New Roman" w:hAnsi="Times New Roman" w:cs="Times New Roman"/>
          <w:sz w:val="24"/>
          <w:szCs w:val="24"/>
        </w:rPr>
        <w:footnoteReference w:id="5"/>
      </w:r>
      <w:r w:rsidR="0050034D" w:rsidRPr="00C95289">
        <w:rPr>
          <w:rFonts w:ascii="Times New Roman" w:eastAsia="Times New Roman" w:hAnsi="Times New Roman" w:cs="Times New Roman"/>
          <w:sz w:val="24"/>
          <w:szCs w:val="24"/>
        </w:rPr>
        <w:t xml:space="preserve"> </w:t>
      </w:r>
      <w:r w:rsidR="00C955AF" w:rsidRPr="00C95289">
        <w:rPr>
          <w:rFonts w:ascii="Times New Roman" w:eastAsia="Times New Roman" w:hAnsi="Times New Roman" w:cs="Times New Roman"/>
          <w:sz w:val="24"/>
          <w:szCs w:val="24"/>
        </w:rPr>
        <w:t xml:space="preserve">The current IECC code shall be followed if applicable. </w:t>
      </w:r>
    </w:p>
    <w:p w14:paraId="04E47E47" w14:textId="77777777" w:rsidR="00BA5C68" w:rsidRPr="00C95289" w:rsidRDefault="00BA5C68" w:rsidP="008362D9">
      <w:pPr>
        <w:pStyle w:val="ListParagraph"/>
        <w:numPr>
          <w:ilvl w:val="0"/>
          <w:numId w:val="2"/>
        </w:numPr>
        <w:tabs>
          <w:tab w:val="left" w:pos="720"/>
        </w:tabs>
        <w:spacing w:before="100" w:beforeAutospacing="1" w:after="240" w:line="240" w:lineRule="auto"/>
        <w:rPr>
          <w:rFonts w:ascii="Times New Roman" w:eastAsia="Times New Roman" w:hAnsi="Times New Roman" w:cs="Times New Roman"/>
          <w:b/>
          <w:vanish/>
          <w:sz w:val="24"/>
          <w:szCs w:val="24"/>
        </w:rPr>
      </w:pPr>
    </w:p>
    <w:p w14:paraId="74DFE69D" w14:textId="77777777" w:rsidR="00BA5C68" w:rsidRPr="00C95289" w:rsidRDefault="00BA5C68" w:rsidP="008362D9">
      <w:pPr>
        <w:pStyle w:val="ListParagraph"/>
        <w:numPr>
          <w:ilvl w:val="0"/>
          <w:numId w:val="2"/>
        </w:numPr>
        <w:tabs>
          <w:tab w:val="left" w:pos="720"/>
        </w:tabs>
        <w:spacing w:before="100" w:beforeAutospacing="1" w:after="240" w:line="240" w:lineRule="auto"/>
        <w:rPr>
          <w:rFonts w:ascii="Times New Roman" w:eastAsia="Times New Roman" w:hAnsi="Times New Roman" w:cs="Times New Roman"/>
          <w:b/>
          <w:vanish/>
          <w:sz w:val="24"/>
          <w:szCs w:val="24"/>
        </w:rPr>
      </w:pPr>
    </w:p>
    <w:p w14:paraId="0C8EA777" w14:textId="77777777" w:rsidR="00BA5C68" w:rsidRPr="00C95289" w:rsidRDefault="00BA5C68" w:rsidP="008362D9">
      <w:pPr>
        <w:pStyle w:val="ListParagraph"/>
        <w:numPr>
          <w:ilvl w:val="0"/>
          <w:numId w:val="2"/>
        </w:numPr>
        <w:tabs>
          <w:tab w:val="left" w:pos="720"/>
        </w:tabs>
        <w:spacing w:before="100" w:beforeAutospacing="1" w:after="240" w:line="240" w:lineRule="auto"/>
        <w:rPr>
          <w:rFonts w:ascii="Times New Roman" w:eastAsia="Times New Roman" w:hAnsi="Times New Roman" w:cs="Times New Roman"/>
          <w:b/>
          <w:vanish/>
          <w:sz w:val="24"/>
          <w:szCs w:val="24"/>
        </w:rPr>
      </w:pPr>
    </w:p>
    <w:p w14:paraId="7D640365" w14:textId="06CB4F10" w:rsidR="00060C90" w:rsidRPr="00C95289" w:rsidRDefault="004235C4" w:rsidP="00F04192">
      <w:pPr>
        <w:tabs>
          <w:tab w:val="left" w:pos="720"/>
        </w:tabs>
        <w:spacing w:before="100" w:beforeAutospacing="1" w:after="240" w:line="240" w:lineRule="auto"/>
        <w:contextualSpacing/>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t>5.5</w:t>
      </w:r>
      <w:r w:rsidR="00D31AF0" w:rsidRPr="00C95289">
        <w:rPr>
          <w:rFonts w:ascii="Times New Roman" w:eastAsia="Times New Roman" w:hAnsi="Times New Roman" w:cs="Times New Roman"/>
          <w:b/>
          <w:sz w:val="24"/>
          <w:szCs w:val="24"/>
        </w:rPr>
        <w:t>E</w:t>
      </w:r>
      <w:r w:rsidRPr="00C95289">
        <w:rPr>
          <w:rFonts w:ascii="Times New Roman" w:eastAsia="Times New Roman" w:hAnsi="Times New Roman" w:cs="Times New Roman"/>
          <w:b/>
          <w:sz w:val="24"/>
          <w:szCs w:val="24"/>
        </w:rPr>
        <w:tab/>
        <w:t xml:space="preserve">Metering </w:t>
      </w:r>
    </w:p>
    <w:p w14:paraId="541150E8" w14:textId="28A9C802" w:rsidR="00881154" w:rsidRDefault="004235C4" w:rsidP="00F04192">
      <w:pPr>
        <w:tabs>
          <w:tab w:val="left" w:pos="720"/>
        </w:tabs>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Provide a complete building utility metering system that consolidates metering information for all building systems including power, domestic water, irrigation water, chilled water, heating water, steam or condensate, natural gas, propane or any other similar building utility system and makes the metering information readily and easily available for Users and Owner to review, report and trend from the metering head-end system. </w:t>
      </w:r>
    </w:p>
    <w:p w14:paraId="7D640369" w14:textId="5B25CC09" w:rsidR="00060C90" w:rsidRPr="00F04192" w:rsidRDefault="004235C4" w:rsidP="008362D9">
      <w:pPr>
        <w:pStyle w:val="ListParagraph"/>
        <w:numPr>
          <w:ilvl w:val="0"/>
          <w:numId w:val="6"/>
        </w:numPr>
        <w:tabs>
          <w:tab w:val="left" w:pos="720"/>
        </w:tabs>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 xml:space="preserve">General Metering Requirements </w:t>
      </w:r>
    </w:p>
    <w:p w14:paraId="7D640372" w14:textId="4EA9EF54" w:rsidR="00060C90" w:rsidRPr="00F04192" w:rsidRDefault="004235C4" w:rsidP="008362D9">
      <w:pPr>
        <w:pStyle w:val="ListParagraph"/>
        <w:numPr>
          <w:ilvl w:val="0"/>
          <w:numId w:val="6"/>
        </w:numPr>
        <w:tabs>
          <w:tab w:val="left" w:pos="720"/>
        </w:tabs>
        <w:spacing w:before="100" w:beforeAutospacing="1" w:after="240" w:line="240" w:lineRule="auto"/>
        <w:rPr>
          <w:rFonts w:ascii="Times New Roman" w:eastAsia="Times New Roman" w:hAnsi="Times New Roman" w:cs="Times New Roman"/>
          <w:sz w:val="24"/>
          <w:szCs w:val="24"/>
        </w:rPr>
      </w:pPr>
      <w:bookmarkStart w:id="1" w:name="bookmark=id.gjdgxs" w:colFirst="0" w:colLast="0"/>
      <w:bookmarkEnd w:id="1"/>
      <w:r w:rsidRPr="00F04192">
        <w:rPr>
          <w:rFonts w:ascii="Times New Roman" w:eastAsia="Times New Roman" w:hAnsi="Times New Roman" w:cs="Times New Roman"/>
          <w:sz w:val="24"/>
          <w:szCs w:val="24"/>
        </w:rPr>
        <w:t>Electric Power Metering Requirements</w:t>
      </w:r>
    </w:p>
    <w:p w14:paraId="7D64037A" w14:textId="005E43FF" w:rsidR="00060C90" w:rsidRPr="00F04192" w:rsidRDefault="004235C4" w:rsidP="008362D9">
      <w:pPr>
        <w:pStyle w:val="ListParagraph"/>
        <w:numPr>
          <w:ilvl w:val="0"/>
          <w:numId w:val="6"/>
        </w:numPr>
        <w:tabs>
          <w:tab w:val="left" w:pos="720"/>
        </w:tabs>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Domestic Water Metering Requirements</w:t>
      </w:r>
    </w:p>
    <w:p w14:paraId="7D64037E" w14:textId="5F741C68" w:rsidR="00060C90" w:rsidRPr="00F04192" w:rsidRDefault="004235C4" w:rsidP="008362D9">
      <w:pPr>
        <w:pStyle w:val="ListParagraph"/>
        <w:numPr>
          <w:ilvl w:val="0"/>
          <w:numId w:val="6"/>
        </w:numPr>
        <w:tabs>
          <w:tab w:val="left" w:pos="720"/>
        </w:tabs>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Chilled &amp; Heating Water Metering Requirements</w:t>
      </w:r>
    </w:p>
    <w:p w14:paraId="7D640382" w14:textId="26E1F2F5" w:rsidR="00060C90" w:rsidRPr="00F04192" w:rsidRDefault="004235C4" w:rsidP="008362D9">
      <w:pPr>
        <w:pStyle w:val="ListParagraph"/>
        <w:numPr>
          <w:ilvl w:val="0"/>
          <w:numId w:val="6"/>
        </w:numPr>
        <w:tabs>
          <w:tab w:val="left" w:pos="720"/>
        </w:tabs>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Steam &amp; Condensate Metering Requirements</w:t>
      </w:r>
    </w:p>
    <w:p w14:paraId="7D640386" w14:textId="198EC9E3" w:rsidR="00060C90" w:rsidRPr="00F04192" w:rsidRDefault="004235C4" w:rsidP="008362D9">
      <w:pPr>
        <w:pStyle w:val="ListParagraph"/>
        <w:numPr>
          <w:ilvl w:val="0"/>
          <w:numId w:val="6"/>
        </w:numPr>
        <w:tabs>
          <w:tab w:val="left" w:pos="720"/>
        </w:tabs>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Natural Gas &amp; Propane Metering Requirements</w:t>
      </w:r>
    </w:p>
    <w:p w14:paraId="7D64038C" w14:textId="4DD1849D" w:rsidR="00060C90" w:rsidRPr="00C95289" w:rsidRDefault="004235C4" w:rsidP="00F04192">
      <w:pPr>
        <w:tabs>
          <w:tab w:val="left" w:pos="720"/>
        </w:tabs>
        <w:spacing w:before="100" w:beforeAutospacing="1" w:after="240" w:line="240" w:lineRule="auto"/>
        <w:rPr>
          <w:rFonts w:ascii="Times New Roman" w:eastAsia="Times New Roman" w:hAnsi="Times New Roman" w:cs="Times New Roman"/>
          <w:sz w:val="24"/>
          <w:szCs w:val="24"/>
        </w:rPr>
      </w:pPr>
      <w:bookmarkStart w:id="2" w:name="bookmark=id.30j0zll" w:colFirst="0" w:colLast="0"/>
      <w:bookmarkEnd w:id="2"/>
      <w:r w:rsidRPr="00C95289">
        <w:rPr>
          <w:rFonts w:ascii="Times New Roman" w:eastAsia="Times New Roman" w:hAnsi="Times New Roman" w:cs="Times New Roman"/>
          <w:sz w:val="24"/>
          <w:szCs w:val="24"/>
        </w:rPr>
        <w:t>5.</w:t>
      </w:r>
      <w:r w:rsidRPr="00C95289">
        <w:rPr>
          <w:rFonts w:ascii="Times New Roman" w:eastAsia="Times New Roman" w:hAnsi="Times New Roman" w:cs="Times New Roman"/>
          <w:b/>
          <w:sz w:val="24"/>
          <w:szCs w:val="24"/>
        </w:rPr>
        <w:t>5F Fault Detection and Diagnostics Software</w:t>
      </w:r>
    </w:p>
    <w:p w14:paraId="7D64038D" w14:textId="386B1619" w:rsidR="00060C90" w:rsidRPr="00881154" w:rsidRDefault="004235C4" w:rsidP="00F04192">
      <w:pPr>
        <w:pBdr>
          <w:top w:val="nil"/>
          <w:left w:val="nil"/>
          <w:bottom w:val="nil"/>
          <w:right w:val="nil"/>
          <w:between w:val="nil"/>
        </w:pBdr>
        <w:spacing w:before="100" w:beforeAutospacing="1" w:after="240" w:line="240" w:lineRule="auto"/>
        <w:jc w:val="both"/>
        <w:rPr>
          <w:rFonts w:ascii="Times New Roman" w:eastAsia="Times New Roman" w:hAnsi="Times New Roman" w:cs="Times New Roman"/>
          <w:sz w:val="24"/>
          <w:szCs w:val="24"/>
        </w:rPr>
      </w:pPr>
      <w:bookmarkStart w:id="3" w:name="_heading=h.1fob9te" w:colFirst="0" w:colLast="0"/>
      <w:bookmarkEnd w:id="3"/>
      <w:r w:rsidRPr="00881154">
        <w:rPr>
          <w:rFonts w:ascii="Times New Roman" w:eastAsia="Times New Roman" w:hAnsi="Times New Roman" w:cs="Times New Roman"/>
          <w:sz w:val="24"/>
          <w:szCs w:val="24"/>
        </w:rPr>
        <w:t>Fault Detection and Diagnostic (FDD) Software will be required on all new facilities</w:t>
      </w:r>
      <w:r w:rsidR="00881154" w:rsidRPr="00881154">
        <w:rPr>
          <w:rFonts w:ascii="Times New Roman" w:eastAsia="Times New Roman" w:hAnsi="Times New Roman" w:cs="Times New Roman"/>
          <w:sz w:val="24"/>
          <w:szCs w:val="24"/>
        </w:rPr>
        <w:t>.</w:t>
      </w:r>
    </w:p>
    <w:p w14:paraId="7D6403B9" w14:textId="59C12CCF" w:rsidR="00060C90" w:rsidRPr="00C95289" w:rsidRDefault="004235C4" w:rsidP="00F04192">
      <w:pPr>
        <w:tabs>
          <w:tab w:val="left" w:pos="720"/>
        </w:tabs>
        <w:spacing w:before="100" w:beforeAutospacing="1" w:after="240" w:line="240" w:lineRule="auto"/>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t>5.5H</w:t>
      </w:r>
      <w:r w:rsidRPr="00C95289">
        <w:rPr>
          <w:rFonts w:ascii="Times New Roman" w:eastAsia="Times New Roman" w:hAnsi="Times New Roman" w:cs="Times New Roman"/>
          <w:b/>
          <w:sz w:val="24"/>
          <w:szCs w:val="24"/>
        </w:rPr>
        <w:tab/>
        <w:t>Efficient Equipment Purchasing</w:t>
      </w:r>
    </w:p>
    <w:p w14:paraId="36E6DFAC" w14:textId="6F5D52AA" w:rsidR="009F56F0" w:rsidRPr="00C95289" w:rsidRDefault="004235C4" w:rsidP="00F04192">
      <w:pPr>
        <w:tabs>
          <w:tab w:val="left" w:pos="720"/>
        </w:tabs>
        <w:spacing w:before="100" w:beforeAutospacing="1" w:after="240" w:line="240" w:lineRule="auto"/>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Purchase appliances and equipment that enhance ongoing energy reduction efforts through efficient energy utilization. </w:t>
      </w:r>
    </w:p>
    <w:p w14:paraId="5303ED22" w14:textId="77777777" w:rsidR="009F56F0" w:rsidRDefault="009F56F0" w:rsidP="00F04192">
      <w:pPr>
        <w:spacing w:before="100" w:beforeAutospacing="1" w:after="240" w:line="240" w:lineRule="auto"/>
        <w:rPr>
          <w:rFonts w:ascii="Times New Roman" w:eastAsia="Times New Roman" w:hAnsi="Times New Roman" w:cs="Times New Roman"/>
          <w:b/>
          <w:sz w:val="24"/>
          <w:szCs w:val="24"/>
        </w:rPr>
      </w:pPr>
    </w:p>
    <w:p w14:paraId="359F9844" w14:textId="77777777" w:rsidR="009F56F0" w:rsidRDefault="009F56F0" w:rsidP="00F04192">
      <w:pPr>
        <w:spacing w:before="100" w:beforeAutospacing="1" w:after="240" w:line="240" w:lineRule="auto"/>
        <w:rPr>
          <w:rFonts w:ascii="Times New Roman" w:eastAsia="Times New Roman" w:hAnsi="Times New Roman" w:cs="Times New Roman"/>
          <w:b/>
          <w:sz w:val="24"/>
          <w:szCs w:val="24"/>
        </w:rPr>
      </w:pPr>
    </w:p>
    <w:p w14:paraId="7D0F0E3D" w14:textId="77777777" w:rsidR="009F56F0" w:rsidRDefault="009F56F0" w:rsidP="00F04192">
      <w:pPr>
        <w:spacing w:before="100" w:beforeAutospacing="1" w:after="240" w:line="240" w:lineRule="auto"/>
        <w:rPr>
          <w:rFonts w:ascii="Times New Roman" w:eastAsia="Times New Roman" w:hAnsi="Times New Roman" w:cs="Times New Roman"/>
          <w:b/>
          <w:sz w:val="24"/>
          <w:szCs w:val="24"/>
        </w:rPr>
      </w:pPr>
    </w:p>
    <w:p w14:paraId="7D6403C9" w14:textId="7584A732" w:rsidR="00060C90" w:rsidRPr="00C95289" w:rsidRDefault="004235C4" w:rsidP="00F04192">
      <w:pPr>
        <w:spacing w:before="100" w:beforeAutospacing="1" w:after="240" w:line="240" w:lineRule="auto"/>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lastRenderedPageBreak/>
        <w:t>5.6</w:t>
      </w:r>
      <w:r w:rsidRPr="00C95289">
        <w:rPr>
          <w:rFonts w:ascii="Times New Roman" w:eastAsia="Times New Roman" w:hAnsi="Times New Roman" w:cs="Times New Roman"/>
          <w:b/>
          <w:sz w:val="24"/>
          <w:szCs w:val="24"/>
        </w:rPr>
        <w:tab/>
        <w:t>Material Impact Reduction</w:t>
      </w:r>
    </w:p>
    <w:p w14:paraId="7D6403CB" w14:textId="77777777" w:rsidR="00060C90" w:rsidRPr="00C95289" w:rsidRDefault="004235C4" w:rsidP="00F04192">
      <w:pPr>
        <w:spacing w:before="100" w:beforeAutospacing="1" w:after="240" w:line="240" w:lineRule="auto"/>
        <w:rPr>
          <w:rFonts w:ascii="Times New Roman" w:eastAsia="Times New Roman" w:hAnsi="Times New Roman" w:cs="Times New Roman"/>
          <w:sz w:val="24"/>
          <w:szCs w:val="24"/>
        </w:rPr>
      </w:pPr>
      <w:proofErr w:type="gramStart"/>
      <w:r w:rsidRPr="00C95289">
        <w:rPr>
          <w:rFonts w:ascii="Times New Roman" w:eastAsia="Times New Roman" w:hAnsi="Times New Roman" w:cs="Times New Roman"/>
          <w:sz w:val="24"/>
          <w:szCs w:val="24"/>
        </w:rPr>
        <w:t>To reduce the amount of waste taken to the landfill over the life of the building.</w:t>
      </w:r>
      <w:proofErr w:type="gramEnd"/>
      <w:r w:rsidRPr="00C95289">
        <w:rPr>
          <w:rFonts w:ascii="Times New Roman" w:eastAsia="Times New Roman" w:hAnsi="Times New Roman" w:cs="Times New Roman"/>
          <w:sz w:val="24"/>
          <w:szCs w:val="24"/>
        </w:rPr>
        <w:t xml:space="preserve"> </w:t>
      </w:r>
    </w:p>
    <w:p w14:paraId="7D6403CC" w14:textId="77777777" w:rsidR="00060C90" w:rsidRPr="00C95289" w:rsidRDefault="004235C4" w:rsidP="00F04192">
      <w:pPr>
        <w:spacing w:before="100" w:beforeAutospacing="1" w:after="240" w:line="240" w:lineRule="auto"/>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To reduce the negative environmental impacts associated with building material extraction, manufacturing, transportation, and landfilling. </w:t>
      </w:r>
    </w:p>
    <w:p w14:paraId="7D6403CE" w14:textId="236631FE" w:rsidR="00060C90" w:rsidRPr="00F04192" w:rsidRDefault="004235C4" w:rsidP="008362D9">
      <w:pPr>
        <w:pStyle w:val="ListParagraph"/>
        <w:numPr>
          <w:ilvl w:val="0"/>
          <w:numId w:val="5"/>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Ongoing Building Recycling</w:t>
      </w:r>
    </w:p>
    <w:p w14:paraId="7D6403D7" w14:textId="31EA26B6" w:rsidR="00060C90" w:rsidRPr="00F04192" w:rsidRDefault="004235C4" w:rsidP="008362D9">
      <w:pPr>
        <w:pStyle w:val="ListParagraph"/>
        <w:numPr>
          <w:ilvl w:val="0"/>
          <w:numId w:val="5"/>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 xml:space="preserve">Water </w:t>
      </w:r>
      <w:r w:rsidR="00881154" w:rsidRPr="00F04192">
        <w:rPr>
          <w:rFonts w:ascii="Times New Roman" w:eastAsia="Times New Roman" w:hAnsi="Times New Roman" w:cs="Times New Roman"/>
          <w:sz w:val="24"/>
          <w:szCs w:val="24"/>
        </w:rPr>
        <w:t>Bottle Filling S</w:t>
      </w:r>
      <w:r w:rsidRPr="00F04192">
        <w:rPr>
          <w:rFonts w:ascii="Times New Roman" w:eastAsia="Times New Roman" w:hAnsi="Times New Roman" w:cs="Times New Roman"/>
          <w:sz w:val="24"/>
          <w:szCs w:val="24"/>
        </w:rPr>
        <w:t xml:space="preserve">tations </w:t>
      </w:r>
    </w:p>
    <w:p w14:paraId="7D6403D9" w14:textId="53B25F4A" w:rsidR="00060C90" w:rsidRPr="00F04192" w:rsidRDefault="004235C4" w:rsidP="008362D9">
      <w:pPr>
        <w:pStyle w:val="ListParagraph"/>
        <w:numPr>
          <w:ilvl w:val="0"/>
          <w:numId w:val="5"/>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Construction Waste Management</w:t>
      </w:r>
    </w:p>
    <w:p w14:paraId="7D6403DD" w14:textId="7B49E105" w:rsidR="00060C90" w:rsidRPr="00F04192" w:rsidRDefault="004235C4" w:rsidP="008362D9">
      <w:pPr>
        <w:pStyle w:val="ListParagraph"/>
        <w:numPr>
          <w:ilvl w:val="0"/>
          <w:numId w:val="5"/>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 xml:space="preserve">Construction Material Air Quality Impact Reduction </w:t>
      </w:r>
    </w:p>
    <w:p w14:paraId="6EE943AD" w14:textId="491049C6" w:rsidR="00881154" w:rsidRPr="00F04192" w:rsidRDefault="00881154" w:rsidP="008362D9">
      <w:pPr>
        <w:pStyle w:val="ListParagraph"/>
        <w:numPr>
          <w:ilvl w:val="0"/>
          <w:numId w:val="5"/>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Sustainable Material Requirements</w:t>
      </w:r>
    </w:p>
    <w:p w14:paraId="7D6403EA" w14:textId="28FE519F" w:rsidR="00060C90" w:rsidRPr="00F04192" w:rsidRDefault="004235C4" w:rsidP="008362D9">
      <w:pPr>
        <w:pStyle w:val="ListParagraph"/>
        <w:numPr>
          <w:ilvl w:val="0"/>
          <w:numId w:val="5"/>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 xml:space="preserve">Material Durability </w:t>
      </w:r>
    </w:p>
    <w:p w14:paraId="7D6403FC" w14:textId="3EE2598A" w:rsidR="00060C90" w:rsidRPr="00C95289" w:rsidRDefault="004235C4" w:rsidP="00F04192">
      <w:pPr>
        <w:spacing w:before="100" w:beforeAutospacing="1" w:after="240" w:line="240" w:lineRule="auto"/>
        <w:contextualSpacing/>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t>5.7</w:t>
      </w:r>
      <w:r w:rsidRPr="00C95289">
        <w:rPr>
          <w:rFonts w:ascii="Times New Roman" w:eastAsia="Times New Roman" w:hAnsi="Times New Roman" w:cs="Times New Roman"/>
          <w:b/>
          <w:sz w:val="24"/>
          <w:szCs w:val="24"/>
        </w:rPr>
        <w:tab/>
        <w:t>Occupant Wellness</w:t>
      </w:r>
    </w:p>
    <w:p w14:paraId="7D6403FE"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Work environments that prioritize occupant health and wellbeing enhance productivity, reduce absenteeism and turnover, and improve overall employee satisfaction. </w:t>
      </w:r>
    </w:p>
    <w:p w14:paraId="7D640400" w14:textId="73103E66" w:rsidR="00060C90" w:rsidRPr="00F04192" w:rsidRDefault="004235C4" w:rsidP="008362D9">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Indoor Air Quality – Building Design</w:t>
      </w:r>
    </w:p>
    <w:p w14:paraId="7D640406" w14:textId="29893BAF" w:rsidR="00060C90" w:rsidRPr="00F04192" w:rsidRDefault="00642DE6" w:rsidP="008362D9">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I</w:t>
      </w:r>
      <w:r w:rsidR="004235C4" w:rsidRPr="00F04192">
        <w:rPr>
          <w:rFonts w:ascii="Times New Roman" w:eastAsia="Times New Roman" w:hAnsi="Times New Roman" w:cs="Times New Roman"/>
          <w:sz w:val="24"/>
          <w:szCs w:val="24"/>
        </w:rPr>
        <w:t>ndoor Air Quality – Construction Materials</w:t>
      </w:r>
    </w:p>
    <w:p w14:paraId="7D640413" w14:textId="77777777" w:rsidR="00060C90" w:rsidRPr="00F04192" w:rsidRDefault="004235C4" w:rsidP="008362D9">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Hazardous Waste Management</w:t>
      </w:r>
      <w:r w:rsidRPr="00F04192">
        <w:rPr>
          <w:rFonts w:ascii="Times New Roman" w:eastAsia="Times New Roman" w:hAnsi="Times New Roman" w:cs="Times New Roman"/>
          <w:sz w:val="24"/>
          <w:szCs w:val="24"/>
        </w:rPr>
        <w:tab/>
      </w:r>
    </w:p>
    <w:p w14:paraId="7D640419" w14:textId="571AB4C4" w:rsidR="00060C90" w:rsidRPr="00F04192" w:rsidRDefault="00642DE6" w:rsidP="008362D9">
      <w:pPr>
        <w:pStyle w:val="ListParagraph"/>
        <w:numPr>
          <w:ilvl w:val="0"/>
          <w:numId w:val="4"/>
        </w:numPr>
        <w:tabs>
          <w:tab w:val="left" w:pos="2220"/>
        </w:tabs>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G</w:t>
      </w:r>
      <w:r w:rsidR="004235C4" w:rsidRPr="00F04192">
        <w:rPr>
          <w:rFonts w:ascii="Times New Roman" w:eastAsia="Times New Roman" w:hAnsi="Times New Roman" w:cs="Times New Roman"/>
          <w:sz w:val="24"/>
          <w:szCs w:val="24"/>
        </w:rPr>
        <w:t xml:space="preserve">reen Cleaning Program </w:t>
      </w:r>
    </w:p>
    <w:p w14:paraId="7D64041B" w14:textId="352DF5EA" w:rsidR="00060C90" w:rsidRPr="00F04192" w:rsidRDefault="004235C4" w:rsidP="008362D9">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bookmarkStart w:id="4" w:name="_heading=h.3znysh7" w:colFirst="0" w:colLast="0"/>
      <w:bookmarkEnd w:id="4"/>
      <w:r w:rsidRPr="00F04192">
        <w:rPr>
          <w:rFonts w:ascii="Times New Roman" w:eastAsia="Times New Roman" w:hAnsi="Times New Roman" w:cs="Times New Roman"/>
          <w:sz w:val="24"/>
          <w:szCs w:val="24"/>
        </w:rPr>
        <w:t>Daylight and Views</w:t>
      </w:r>
    </w:p>
    <w:p w14:paraId="7D640425" w14:textId="163C5FF1" w:rsidR="00060C90" w:rsidRPr="00F04192" w:rsidRDefault="004235C4" w:rsidP="008362D9">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Environmental Controls</w:t>
      </w:r>
      <w:r w:rsidR="00881154" w:rsidRPr="00F04192">
        <w:rPr>
          <w:rFonts w:ascii="Times New Roman" w:eastAsia="Times New Roman" w:hAnsi="Times New Roman" w:cs="Times New Roman"/>
          <w:sz w:val="24"/>
          <w:szCs w:val="24"/>
        </w:rPr>
        <w:t xml:space="preserve"> (</w:t>
      </w:r>
      <w:r w:rsidRPr="00F04192">
        <w:rPr>
          <w:rFonts w:ascii="Times New Roman" w:eastAsia="Times New Roman" w:hAnsi="Times New Roman" w:cs="Times New Roman"/>
          <w:sz w:val="24"/>
          <w:szCs w:val="24"/>
        </w:rPr>
        <w:t>Lighting Control</w:t>
      </w:r>
      <w:r w:rsidR="00881154" w:rsidRPr="00F04192">
        <w:rPr>
          <w:rFonts w:ascii="Times New Roman" w:eastAsia="Times New Roman" w:hAnsi="Times New Roman" w:cs="Times New Roman"/>
          <w:sz w:val="24"/>
          <w:szCs w:val="24"/>
        </w:rPr>
        <w:t xml:space="preserve">, </w:t>
      </w:r>
      <w:r w:rsidRPr="00F04192">
        <w:rPr>
          <w:rFonts w:ascii="Times New Roman" w:eastAsia="Times New Roman" w:hAnsi="Times New Roman" w:cs="Times New Roman"/>
          <w:sz w:val="24"/>
          <w:szCs w:val="24"/>
        </w:rPr>
        <w:t>Thermal Comfort</w:t>
      </w:r>
      <w:r w:rsidR="00881154" w:rsidRPr="00F04192">
        <w:rPr>
          <w:rFonts w:ascii="Times New Roman" w:eastAsia="Times New Roman" w:hAnsi="Times New Roman" w:cs="Times New Roman"/>
          <w:sz w:val="24"/>
          <w:szCs w:val="24"/>
        </w:rPr>
        <w:t>)</w:t>
      </w:r>
    </w:p>
    <w:p w14:paraId="7D64042E" w14:textId="6336F737" w:rsidR="00060C90" w:rsidRPr="00F04192" w:rsidRDefault="004235C4" w:rsidP="008362D9">
      <w:pPr>
        <w:pStyle w:val="ListParagraph"/>
        <w:numPr>
          <w:ilvl w:val="0"/>
          <w:numId w:val="4"/>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Health and Productivity</w:t>
      </w:r>
    </w:p>
    <w:p w14:paraId="7D64043F"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b/>
          <w:sz w:val="24"/>
          <w:szCs w:val="24"/>
        </w:rPr>
      </w:pPr>
      <w:r w:rsidRPr="00C95289">
        <w:rPr>
          <w:rFonts w:ascii="Times New Roman" w:eastAsia="Times New Roman" w:hAnsi="Times New Roman" w:cs="Times New Roman"/>
          <w:b/>
          <w:sz w:val="24"/>
          <w:szCs w:val="24"/>
        </w:rPr>
        <w:t>5.8</w:t>
      </w:r>
      <w:r w:rsidRPr="00C95289">
        <w:rPr>
          <w:rFonts w:ascii="Times New Roman" w:eastAsia="Times New Roman" w:hAnsi="Times New Roman" w:cs="Times New Roman"/>
          <w:b/>
          <w:sz w:val="24"/>
          <w:szCs w:val="24"/>
        </w:rPr>
        <w:tab/>
        <w:t>Education and Outreach</w:t>
      </w:r>
    </w:p>
    <w:p w14:paraId="7D640441" w14:textId="77777777" w:rsidR="00060C90" w:rsidRPr="00C95289" w:rsidRDefault="004235C4" w:rsidP="00F04192">
      <w:pPr>
        <w:spacing w:before="100" w:beforeAutospacing="1" w:after="240" w:line="240" w:lineRule="auto"/>
        <w:contextualSpacing/>
        <w:rPr>
          <w:rFonts w:ascii="Times New Roman" w:eastAsia="Times New Roman" w:hAnsi="Times New Roman" w:cs="Times New Roman"/>
          <w:sz w:val="24"/>
          <w:szCs w:val="24"/>
        </w:rPr>
      </w:pPr>
      <w:r w:rsidRPr="00C95289">
        <w:rPr>
          <w:rFonts w:ascii="Times New Roman" w:eastAsia="Times New Roman" w:hAnsi="Times New Roman" w:cs="Times New Roman"/>
          <w:sz w:val="24"/>
          <w:szCs w:val="24"/>
        </w:rPr>
        <w:t xml:space="preserve">To educate building users and visitors on the sustainable design and construction strategies incorporated into the project, and to enhance awareness of the impact occupant behaviors have on building performance over time. </w:t>
      </w:r>
    </w:p>
    <w:p w14:paraId="7D640443" w14:textId="77777777" w:rsidR="00060C90" w:rsidRPr="00F04192" w:rsidRDefault="004235C4" w:rsidP="008362D9">
      <w:pPr>
        <w:pStyle w:val="ListParagraph"/>
        <w:numPr>
          <w:ilvl w:val="0"/>
          <w:numId w:val="3"/>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User Education and Outreach</w:t>
      </w:r>
    </w:p>
    <w:p w14:paraId="7D64044D" w14:textId="77777777" w:rsidR="00060C90" w:rsidRPr="00F04192" w:rsidRDefault="004235C4" w:rsidP="008362D9">
      <w:pPr>
        <w:pStyle w:val="ListParagraph"/>
        <w:numPr>
          <w:ilvl w:val="0"/>
          <w:numId w:val="3"/>
        </w:numPr>
        <w:spacing w:before="100" w:beforeAutospacing="1" w:after="240" w:line="240" w:lineRule="auto"/>
        <w:rPr>
          <w:rFonts w:ascii="Times New Roman" w:eastAsia="Times New Roman" w:hAnsi="Times New Roman" w:cs="Times New Roman"/>
          <w:sz w:val="24"/>
          <w:szCs w:val="24"/>
        </w:rPr>
      </w:pPr>
      <w:r w:rsidRPr="00F04192">
        <w:rPr>
          <w:rFonts w:ascii="Times New Roman" w:eastAsia="Times New Roman" w:hAnsi="Times New Roman" w:cs="Times New Roman"/>
          <w:sz w:val="24"/>
          <w:szCs w:val="24"/>
        </w:rPr>
        <w:t>Facilities Management Education</w:t>
      </w:r>
    </w:p>
    <w:p w14:paraId="7D640480" w14:textId="77777777" w:rsidR="00060C90" w:rsidRDefault="00060C90" w:rsidP="00F04192">
      <w:pPr>
        <w:spacing w:before="100" w:beforeAutospacing="1" w:after="240" w:line="240" w:lineRule="auto"/>
        <w:contextualSpacing/>
        <w:rPr>
          <w:rFonts w:ascii="Times New Roman" w:eastAsia="Times New Roman" w:hAnsi="Times New Roman" w:cs="Times New Roman"/>
          <w:color w:val="FF0000"/>
          <w:sz w:val="20"/>
          <w:szCs w:val="20"/>
        </w:rPr>
      </w:pPr>
    </w:p>
    <w:sectPr w:rsidR="00060C90" w:rsidSect="009909E8">
      <w:headerReference w:type="default" r:id="rId13"/>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A4C53" w16cid:durableId="210A4B06"/>
  <w16cid:commentId w16cid:paraId="2C3F4D36" w16cid:durableId="210A525D"/>
  <w16cid:commentId w16cid:paraId="4F145A4F" w16cid:durableId="211A15E6"/>
  <w16cid:commentId w16cid:paraId="058DF348" w16cid:durableId="211A7EDA"/>
  <w16cid:commentId w16cid:paraId="3F13A21B" w16cid:durableId="2120FA28"/>
  <w16cid:commentId w16cid:paraId="045A1D31" w16cid:durableId="795D59ED"/>
  <w16cid:commentId w16cid:paraId="44F72058" w16cid:durableId="211A7F55"/>
  <w16cid:commentId w16cid:paraId="1658DCDF" w16cid:durableId="211A8182"/>
  <w16cid:commentId w16cid:paraId="350FE7D2" w16cid:durableId="2110BB38"/>
  <w16cid:commentId w16cid:paraId="7CBED8F5" w16cid:durableId="211A81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AC5B" w14:textId="77777777" w:rsidR="00F776CE" w:rsidRDefault="00F776CE">
      <w:pPr>
        <w:spacing w:after="0" w:line="240" w:lineRule="auto"/>
      </w:pPr>
      <w:r>
        <w:separator/>
      </w:r>
    </w:p>
  </w:endnote>
  <w:endnote w:type="continuationSeparator" w:id="0">
    <w:p w14:paraId="75FF8BC1" w14:textId="77777777" w:rsidR="00F776CE" w:rsidRDefault="00F776CE">
      <w:pPr>
        <w:spacing w:after="0" w:line="240" w:lineRule="auto"/>
      </w:pPr>
      <w:r>
        <w:continuationSeparator/>
      </w:r>
    </w:p>
  </w:endnote>
  <w:endnote w:type="continuationNotice" w:id="1">
    <w:p w14:paraId="3784C9D4" w14:textId="77777777" w:rsidR="00F776CE" w:rsidRDefault="00F77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60027" w14:textId="77777777" w:rsidR="00F776CE" w:rsidRDefault="00F776CE">
      <w:pPr>
        <w:spacing w:after="0" w:line="240" w:lineRule="auto"/>
      </w:pPr>
      <w:r>
        <w:separator/>
      </w:r>
    </w:p>
  </w:footnote>
  <w:footnote w:type="continuationSeparator" w:id="0">
    <w:p w14:paraId="5D1A59A8" w14:textId="77777777" w:rsidR="00F776CE" w:rsidRDefault="00F776CE">
      <w:pPr>
        <w:spacing w:after="0" w:line="240" w:lineRule="auto"/>
      </w:pPr>
      <w:r>
        <w:continuationSeparator/>
      </w:r>
    </w:p>
  </w:footnote>
  <w:footnote w:type="continuationNotice" w:id="1">
    <w:p w14:paraId="12E818EF" w14:textId="77777777" w:rsidR="00F776CE" w:rsidRDefault="00F776CE">
      <w:pPr>
        <w:spacing w:after="0" w:line="240" w:lineRule="auto"/>
      </w:pPr>
    </w:p>
  </w:footnote>
  <w:footnote w:id="2">
    <w:p w14:paraId="7D640485" w14:textId="77777777" w:rsidR="00642DE6" w:rsidRDefault="00642DE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https://www.wbdg.org/resources/life-cycle-cost-analysis-lcca</w:t>
        </w:r>
      </w:hyperlink>
    </w:p>
  </w:footnote>
  <w:footnote w:id="3">
    <w:p w14:paraId="7E60CBE6" w14:textId="12E5F333" w:rsidR="00642DE6" w:rsidRDefault="00642DE6">
      <w:pPr>
        <w:pStyle w:val="FootnoteText"/>
      </w:pPr>
      <w:r>
        <w:rPr>
          <w:rStyle w:val="FootnoteReference"/>
        </w:rPr>
        <w:footnoteRef/>
      </w:r>
      <w:r>
        <w:t xml:space="preserve"> </w:t>
      </w:r>
      <w:hyperlink r:id="rId2" w:history="1">
        <w:r w:rsidRPr="00714E3A">
          <w:rPr>
            <w:color w:val="0000FF"/>
            <w:sz w:val="22"/>
            <w:szCs w:val="22"/>
            <w:u w:val="single"/>
          </w:rPr>
          <w:t>https://www.bcxa.org/wp-content/uploads/2016/03/BCxA.NCCx-BestPractices_031616.pdf</w:t>
        </w:r>
      </w:hyperlink>
    </w:p>
  </w:footnote>
  <w:footnote w:id="4">
    <w:p w14:paraId="04D1A32B" w14:textId="2A71E260" w:rsidR="00642DE6" w:rsidRDefault="00642DE6">
      <w:pPr>
        <w:pStyle w:val="FootnoteText"/>
      </w:pPr>
      <w:r>
        <w:rPr>
          <w:rStyle w:val="FootnoteReference"/>
        </w:rPr>
        <w:footnoteRef/>
      </w:r>
      <w:hyperlink r:id="rId3" w:history="1">
        <w:r w:rsidRPr="00714E3A">
          <w:rPr>
            <w:color w:val="0000FF"/>
            <w:sz w:val="22"/>
            <w:szCs w:val="22"/>
            <w:u w:val="single"/>
          </w:rPr>
          <w:t>https://webstore.ansi.org/Standards/ASHRAE/ASHRAEGuideline2019SPANISH?gclid=EAIaIQobChMI0OeF_JvU5gIVmB6tBh2WygJMEAAYASAAEgLtu_D_BwE</w:t>
        </w:r>
      </w:hyperlink>
    </w:p>
  </w:footnote>
  <w:footnote w:id="5">
    <w:p w14:paraId="23993AE1" w14:textId="5662E180" w:rsidR="00642DE6" w:rsidRDefault="00642DE6">
      <w:pPr>
        <w:pStyle w:val="FootnoteText"/>
      </w:pPr>
      <w:r>
        <w:rPr>
          <w:rStyle w:val="FootnoteReference"/>
        </w:rPr>
        <w:footnoteRef/>
      </w:r>
      <w:r>
        <w:t xml:space="preserve"> </w:t>
      </w:r>
      <w:hyperlink r:id="rId4" w:history="1">
        <w:r w:rsidRPr="00714E3A">
          <w:rPr>
            <w:color w:val="0000FF"/>
            <w:sz w:val="22"/>
            <w:szCs w:val="22"/>
            <w:u w:val="single"/>
          </w:rPr>
          <w:t>https://www.techstreet.com/ashrae/standards/ashrae-202-2018?product_id=2025517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40483" w14:textId="5FB416D4" w:rsidR="00642DE6" w:rsidRDefault="00642DE6">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808080"/>
      </w:rPr>
      <w:t>Page</w:t>
    </w:r>
    <w:r>
      <w:rPr>
        <w:color w:val="000000"/>
      </w:rPr>
      <w:t xml:space="preserve"> | </w:t>
    </w:r>
    <w:r>
      <w:rPr>
        <w:color w:val="000000"/>
        <w:shd w:val="clear" w:color="auto" w:fill="E6E6E6"/>
      </w:rPr>
      <w:fldChar w:fldCharType="begin"/>
    </w:r>
    <w:r>
      <w:rPr>
        <w:color w:val="000000"/>
      </w:rPr>
      <w:instrText>PAGE</w:instrText>
    </w:r>
    <w:r>
      <w:rPr>
        <w:color w:val="000000"/>
        <w:shd w:val="clear" w:color="auto" w:fill="E6E6E6"/>
      </w:rPr>
      <w:fldChar w:fldCharType="separate"/>
    </w:r>
    <w:r w:rsidR="00E305F4">
      <w:rPr>
        <w:noProof/>
        <w:color w:val="000000"/>
      </w:rPr>
      <w:t>4</w:t>
    </w:r>
    <w:r>
      <w:rPr>
        <w:color w:val="000000"/>
        <w:shd w:val="clear" w:color="auto" w:fill="E6E6E6"/>
      </w:rPr>
      <w:fldChar w:fldCharType="end"/>
    </w:r>
  </w:p>
  <w:p w14:paraId="7D640484" w14:textId="77777777" w:rsidR="00642DE6" w:rsidRDefault="00642DE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262"/>
    <w:multiLevelType w:val="hybridMultilevel"/>
    <w:tmpl w:val="754E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07197"/>
    <w:multiLevelType w:val="hybridMultilevel"/>
    <w:tmpl w:val="E1D2B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4019E5"/>
    <w:multiLevelType w:val="hybridMultilevel"/>
    <w:tmpl w:val="273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0570E"/>
    <w:multiLevelType w:val="multilevel"/>
    <w:tmpl w:val="97E01372"/>
    <w:lvl w:ilvl="0">
      <w:start w:val="1"/>
      <w:numFmt w:val="decimal"/>
      <w:lvlText w:val="5.5D"/>
      <w:lvlJc w:val="left"/>
      <w:pPr>
        <w:ind w:left="360" w:hanging="360"/>
      </w:pPr>
      <w:rPr>
        <w:rFonts w:hint="default"/>
      </w:rPr>
    </w:lvl>
    <w:lvl w:ilvl="1">
      <w:start w:val="1"/>
      <w:numFmt w:val="none"/>
      <w:lvlText w:val="5.5D.2"/>
      <w:lvlJc w:val="left"/>
      <w:pPr>
        <w:ind w:left="99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color w:val="000000"/>
      </w:rPr>
    </w:lvl>
    <w:lvl w:ilvl="4">
      <w:start w:val="1"/>
      <w:numFmt w:val="lowerRoman"/>
      <w:lvlText w:val="%5."/>
      <w:lvlJc w:val="left"/>
      <w:pPr>
        <w:ind w:left="3240" w:hanging="360"/>
      </w:pPr>
      <w:rPr>
        <w:rFonts w:hint="default"/>
      </w:rPr>
    </w:lvl>
    <w:lvl w:ilvl="5">
      <w:start w:val="1"/>
      <w:numFmt w:val="upp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0E63D25"/>
    <w:multiLevelType w:val="hybridMultilevel"/>
    <w:tmpl w:val="E0D0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6488F"/>
    <w:multiLevelType w:val="hybridMultilevel"/>
    <w:tmpl w:val="C8A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A731F"/>
    <w:multiLevelType w:val="hybridMultilevel"/>
    <w:tmpl w:val="596C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612CC"/>
    <w:multiLevelType w:val="hybridMultilevel"/>
    <w:tmpl w:val="B0CA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63DD3"/>
    <w:multiLevelType w:val="hybridMultilevel"/>
    <w:tmpl w:val="F37C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413CE"/>
    <w:multiLevelType w:val="hybridMultilevel"/>
    <w:tmpl w:val="05B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477E1"/>
    <w:multiLevelType w:val="multilevel"/>
    <w:tmpl w:val="A57E4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28742AB"/>
    <w:multiLevelType w:val="hybridMultilevel"/>
    <w:tmpl w:val="96B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8493F"/>
    <w:multiLevelType w:val="hybridMultilevel"/>
    <w:tmpl w:val="8E3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9"/>
  </w:num>
  <w:num w:numId="6">
    <w:abstractNumId w:val="6"/>
  </w:num>
  <w:num w:numId="7">
    <w:abstractNumId w:val="7"/>
  </w:num>
  <w:num w:numId="8">
    <w:abstractNumId w:val="12"/>
  </w:num>
  <w:num w:numId="9">
    <w:abstractNumId w:val="8"/>
  </w:num>
  <w:num w:numId="10">
    <w:abstractNumId w:val="0"/>
  </w:num>
  <w:num w:numId="11">
    <w:abstractNumId w:val="5"/>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90"/>
    <w:rsid w:val="000012BE"/>
    <w:rsid w:val="00003B50"/>
    <w:rsid w:val="00014E67"/>
    <w:rsid w:val="00027857"/>
    <w:rsid w:val="000374ED"/>
    <w:rsid w:val="000421B7"/>
    <w:rsid w:val="000542D5"/>
    <w:rsid w:val="00060C90"/>
    <w:rsid w:val="00064A9E"/>
    <w:rsid w:val="00085D7C"/>
    <w:rsid w:val="00086AD3"/>
    <w:rsid w:val="00090191"/>
    <w:rsid w:val="00096FAB"/>
    <w:rsid w:val="000A206B"/>
    <w:rsid w:val="000A400E"/>
    <w:rsid w:val="000B0B7D"/>
    <w:rsid w:val="000B550A"/>
    <w:rsid w:val="000C0AE4"/>
    <w:rsid w:val="000C4FFE"/>
    <w:rsid w:val="000D52F6"/>
    <w:rsid w:val="00104871"/>
    <w:rsid w:val="00111272"/>
    <w:rsid w:val="00112983"/>
    <w:rsid w:val="001247B7"/>
    <w:rsid w:val="00124FD1"/>
    <w:rsid w:val="00131538"/>
    <w:rsid w:val="00132E43"/>
    <w:rsid w:val="00133386"/>
    <w:rsid w:val="00134100"/>
    <w:rsid w:val="001400F3"/>
    <w:rsid w:val="00145096"/>
    <w:rsid w:val="00150493"/>
    <w:rsid w:val="0015063B"/>
    <w:rsid w:val="00155A04"/>
    <w:rsid w:val="001626C5"/>
    <w:rsid w:val="00172047"/>
    <w:rsid w:val="00176665"/>
    <w:rsid w:val="001769B5"/>
    <w:rsid w:val="00183BC4"/>
    <w:rsid w:val="00185D98"/>
    <w:rsid w:val="001870C5"/>
    <w:rsid w:val="001932F6"/>
    <w:rsid w:val="00194747"/>
    <w:rsid w:val="001948FE"/>
    <w:rsid w:val="001A67F7"/>
    <w:rsid w:val="001B0C75"/>
    <w:rsid w:val="001B2FB6"/>
    <w:rsid w:val="001C699C"/>
    <w:rsid w:val="001D725B"/>
    <w:rsid w:val="001D7B85"/>
    <w:rsid w:val="001E04C8"/>
    <w:rsid w:val="001E250F"/>
    <w:rsid w:val="001E2703"/>
    <w:rsid w:val="001E6558"/>
    <w:rsid w:val="001F3CCF"/>
    <w:rsid w:val="001F76C8"/>
    <w:rsid w:val="00201E5F"/>
    <w:rsid w:val="002030CF"/>
    <w:rsid w:val="00215E68"/>
    <w:rsid w:val="00225005"/>
    <w:rsid w:val="0022780C"/>
    <w:rsid w:val="00227AFE"/>
    <w:rsid w:val="00234AB5"/>
    <w:rsid w:val="00235667"/>
    <w:rsid w:val="00236F61"/>
    <w:rsid w:val="00246A4E"/>
    <w:rsid w:val="00247587"/>
    <w:rsid w:val="002523E9"/>
    <w:rsid w:val="00252D4B"/>
    <w:rsid w:val="0025606A"/>
    <w:rsid w:val="002805C0"/>
    <w:rsid w:val="00282354"/>
    <w:rsid w:val="00285CB2"/>
    <w:rsid w:val="00293139"/>
    <w:rsid w:val="002B0E56"/>
    <w:rsid w:val="002B7E95"/>
    <w:rsid w:val="002E500C"/>
    <w:rsid w:val="002E7A49"/>
    <w:rsid w:val="002F018D"/>
    <w:rsid w:val="002F04C8"/>
    <w:rsid w:val="002F24FD"/>
    <w:rsid w:val="002F289B"/>
    <w:rsid w:val="00312CB4"/>
    <w:rsid w:val="003142A0"/>
    <w:rsid w:val="00315FEC"/>
    <w:rsid w:val="00330B52"/>
    <w:rsid w:val="00331752"/>
    <w:rsid w:val="003319D8"/>
    <w:rsid w:val="00344E10"/>
    <w:rsid w:val="00351596"/>
    <w:rsid w:val="00355B29"/>
    <w:rsid w:val="00357CD5"/>
    <w:rsid w:val="00360B7B"/>
    <w:rsid w:val="00363C1B"/>
    <w:rsid w:val="00365961"/>
    <w:rsid w:val="003851C5"/>
    <w:rsid w:val="00393688"/>
    <w:rsid w:val="003A5059"/>
    <w:rsid w:val="003A5AFA"/>
    <w:rsid w:val="003B18A5"/>
    <w:rsid w:val="003B3696"/>
    <w:rsid w:val="003B41F0"/>
    <w:rsid w:val="003B71CC"/>
    <w:rsid w:val="003C0201"/>
    <w:rsid w:val="003C7BFF"/>
    <w:rsid w:val="003D56D2"/>
    <w:rsid w:val="003D595E"/>
    <w:rsid w:val="003D7F9C"/>
    <w:rsid w:val="003E5D87"/>
    <w:rsid w:val="00406FA5"/>
    <w:rsid w:val="00411BB8"/>
    <w:rsid w:val="0041704B"/>
    <w:rsid w:val="004235C4"/>
    <w:rsid w:val="00442A34"/>
    <w:rsid w:val="00443D83"/>
    <w:rsid w:val="00462DB3"/>
    <w:rsid w:val="00467DC1"/>
    <w:rsid w:val="004742E7"/>
    <w:rsid w:val="0047704D"/>
    <w:rsid w:val="00487E5F"/>
    <w:rsid w:val="0049145F"/>
    <w:rsid w:val="004927AE"/>
    <w:rsid w:val="004966F0"/>
    <w:rsid w:val="004A285B"/>
    <w:rsid w:val="004D4441"/>
    <w:rsid w:val="004E088E"/>
    <w:rsid w:val="004F26A1"/>
    <w:rsid w:val="004F6944"/>
    <w:rsid w:val="00500238"/>
    <w:rsid w:val="0050034D"/>
    <w:rsid w:val="005035B2"/>
    <w:rsid w:val="00512241"/>
    <w:rsid w:val="00516DCE"/>
    <w:rsid w:val="005259CE"/>
    <w:rsid w:val="00545E42"/>
    <w:rsid w:val="00547FE3"/>
    <w:rsid w:val="005513E2"/>
    <w:rsid w:val="005532B5"/>
    <w:rsid w:val="00555B52"/>
    <w:rsid w:val="00565169"/>
    <w:rsid w:val="00590E7E"/>
    <w:rsid w:val="005B4AF2"/>
    <w:rsid w:val="005D3658"/>
    <w:rsid w:val="005D3F09"/>
    <w:rsid w:val="005D7FF2"/>
    <w:rsid w:val="005E1665"/>
    <w:rsid w:val="005F2A38"/>
    <w:rsid w:val="00605499"/>
    <w:rsid w:val="006067A4"/>
    <w:rsid w:val="00607A7E"/>
    <w:rsid w:val="00610717"/>
    <w:rsid w:val="006148C3"/>
    <w:rsid w:val="00623C8D"/>
    <w:rsid w:val="00642DE6"/>
    <w:rsid w:val="00643D3A"/>
    <w:rsid w:val="00651431"/>
    <w:rsid w:val="00654B7A"/>
    <w:rsid w:val="0065528A"/>
    <w:rsid w:val="00660EE5"/>
    <w:rsid w:val="0066352A"/>
    <w:rsid w:val="006653C1"/>
    <w:rsid w:val="0067059C"/>
    <w:rsid w:val="0067177C"/>
    <w:rsid w:val="006855FB"/>
    <w:rsid w:val="00687A7C"/>
    <w:rsid w:val="00691F71"/>
    <w:rsid w:val="006932E6"/>
    <w:rsid w:val="00695FEA"/>
    <w:rsid w:val="006A5743"/>
    <w:rsid w:val="006B1013"/>
    <w:rsid w:val="006C2EDD"/>
    <w:rsid w:val="006C30E6"/>
    <w:rsid w:val="006C6B9C"/>
    <w:rsid w:val="006C6BF9"/>
    <w:rsid w:val="006E2340"/>
    <w:rsid w:val="006F044D"/>
    <w:rsid w:val="006F1558"/>
    <w:rsid w:val="006F6143"/>
    <w:rsid w:val="007014FE"/>
    <w:rsid w:val="007017C2"/>
    <w:rsid w:val="00702AFF"/>
    <w:rsid w:val="00703ACD"/>
    <w:rsid w:val="00710B00"/>
    <w:rsid w:val="00710EE9"/>
    <w:rsid w:val="00714E3A"/>
    <w:rsid w:val="00715C22"/>
    <w:rsid w:val="00721B81"/>
    <w:rsid w:val="00725C7B"/>
    <w:rsid w:val="007273B5"/>
    <w:rsid w:val="00735824"/>
    <w:rsid w:val="00736656"/>
    <w:rsid w:val="007417CA"/>
    <w:rsid w:val="00743647"/>
    <w:rsid w:val="00745F1F"/>
    <w:rsid w:val="00750C27"/>
    <w:rsid w:val="00752103"/>
    <w:rsid w:val="00757759"/>
    <w:rsid w:val="0076615E"/>
    <w:rsid w:val="007664FF"/>
    <w:rsid w:val="00767BDC"/>
    <w:rsid w:val="00767F30"/>
    <w:rsid w:val="007718DA"/>
    <w:rsid w:val="007747F6"/>
    <w:rsid w:val="0078610D"/>
    <w:rsid w:val="00786B25"/>
    <w:rsid w:val="00787636"/>
    <w:rsid w:val="00792FCB"/>
    <w:rsid w:val="007A11FA"/>
    <w:rsid w:val="007A220E"/>
    <w:rsid w:val="007A3225"/>
    <w:rsid w:val="007A51C7"/>
    <w:rsid w:val="007C1C63"/>
    <w:rsid w:val="007C1CF7"/>
    <w:rsid w:val="007C3D60"/>
    <w:rsid w:val="007E4522"/>
    <w:rsid w:val="007E50EA"/>
    <w:rsid w:val="007F418F"/>
    <w:rsid w:val="0080574F"/>
    <w:rsid w:val="00816518"/>
    <w:rsid w:val="00826746"/>
    <w:rsid w:val="0083446C"/>
    <w:rsid w:val="008362D9"/>
    <w:rsid w:val="008453E5"/>
    <w:rsid w:val="00851176"/>
    <w:rsid w:val="00853B4A"/>
    <w:rsid w:val="00861433"/>
    <w:rsid w:val="00863507"/>
    <w:rsid w:val="008645AE"/>
    <w:rsid w:val="00865326"/>
    <w:rsid w:val="00867EED"/>
    <w:rsid w:val="00875B5A"/>
    <w:rsid w:val="00881154"/>
    <w:rsid w:val="00890C5E"/>
    <w:rsid w:val="00892CE8"/>
    <w:rsid w:val="00896775"/>
    <w:rsid w:val="008A34C4"/>
    <w:rsid w:val="008B1E2A"/>
    <w:rsid w:val="008B290C"/>
    <w:rsid w:val="008B6FC5"/>
    <w:rsid w:val="008C6E87"/>
    <w:rsid w:val="008D00BA"/>
    <w:rsid w:val="008D4FA5"/>
    <w:rsid w:val="008E3012"/>
    <w:rsid w:val="008E64ED"/>
    <w:rsid w:val="00926052"/>
    <w:rsid w:val="00933F6E"/>
    <w:rsid w:val="009450CC"/>
    <w:rsid w:val="009458DC"/>
    <w:rsid w:val="00950201"/>
    <w:rsid w:val="00962026"/>
    <w:rsid w:val="009677CF"/>
    <w:rsid w:val="009909E8"/>
    <w:rsid w:val="009927C8"/>
    <w:rsid w:val="009942FC"/>
    <w:rsid w:val="009A1BCF"/>
    <w:rsid w:val="009A770B"/>
    <w:rsid w:val="009B171A"/>
    <w:rsid w:val="009C30DD"/>
    <w:rsid w:val="009D42A6"/>
    <w:rsid w:val="009D4CC8"/>
    <w:rsid w:val="009D62CC"/>
    <w:rsid w:val="009E72C8"/>
    <w:rsid w:val="009F1C33"/>
    <w:rsid w:val="009F39A3"/>
    <w:rsid w:val="009F56F0"/>
    <w:rsid w:val="009F789E"/>
    <w:rsid w:val="00A151B7"/>
    <w:rsid w:val="00A21AE1"/>
    <w:rsid w:val="00A2746C"/>
    <w:rsid w:val="00A44BFD"/>
    <w:rsid w:val="00A4530D"/>
    <w:rsid w:val="00A4791A"/>
    <w:rsid w:val="00A514F6"/>
    <w:rsid w:val="00A6782C"/>
    <w:rsid w:val="00A86552"/>
    <w:rsid w:val="00A87E0B"/>
    <w:rsid w:val="00A92C7D"/>
    <w:rsid w:val="00A94DF2"/>
    <w:rsid w:val="00A96614"/>
    <w:rsid w:val="00AA5DE1"/>
    <w:rsid w:val="00AB30C2"/>
    <w:rsid w:val="00AE2B47"/>
    <w:rsid w:val="00AE55C0"/>
    <w:rsid w:val="00AF08E6"/>
    <w:rsid w:val="00AF26F3"/>
    <w:rsid w:val="00AF44BE"/>
    <w:rsid w:val="00AF494B"/>
    <w:rsid w:val="00B10951"/>
    <w:rsid w:val="00B14560"/>
    <w:rsid w:val="00B23DED"/>
    <w:rsid w:val="00B26BD7"/>
    <w:rsid w:val="00B274D3"/>
    <w:rsid w:val="00B427C9"/>
    <w:rsid w:val="00B44B7A"/>
    <w:rsid w:val="00B45F2E"/>
    <w:rsid w:val="00B47D77"/>
    <w:rsid w:val="00B52976"/>
    <w:rsid w:val="00B60302"/>
    <w:rsid w:val="00B64630"/>
    <w:rsid w:val="00B64AFF"/>
    <w:rsid w:val="00B72E65"/>
    <w:rsid w:val="00B81937"/>
    <w:rsid w:val="00B823C9"/>
    <w:rsid w:val="00B836AA"/>
    <w:rsid w:val="00B87BC3"/>
    <w:rsid w:val="00B9029C"/>
    <w:rsid w:val="00B92C18"/>
    <w:rsid w:val="00BA5C68"/>
    <w:rsid w:val="00BB0740"/>
    <w:rsid w:val="00BB089A"/>
    <w:rsid w:val="00BB61BE"/>
    <w:rsid w:val="00BC3FC9"/>
    <w:rsid w:val="00BD293E"/>
    <w:rsid w:val="00BD6048"/>
    <w:rsid w:val="00BD634B"/>
    <w:rsid w:val="00BE277D"/>
    <w:rsid w:val="00BF077D"/>
    <w:rsid w:val="00BF2143"/>
    <w:rsid w:val="00BF6556"/>
    <w:rsid w:val="00BF687D"/>
    <w:rsid w:val="00C0227D"/>
    <w:rsid w:val="00C14C69"/>
    <w:rsid w:val="00C20D79"/>
    <w:rsid w:val="00C32B6F"/>
    <w:rsid w:val="00C41B76"/>
    <w:rsid w:val="00C511EB"/>
    <w:rsid w:val="00C7142F"/>
    <w:rsid w:val="00C71634"/>
    <w:rsid w:val="00C7342D"/>
    <w:rsid w:val="00C8364A"/>
    <w:rsid w:val="00C83AAB"/>
    <w:rsid w:val="00C9450B"/>
    <w:rsid w:val="00C95289"/>
    <w:rsid w:val="00C955AF"/>
    <w:rsid w:val="00CA31E1"/>
    <w:rsid w:val="00CA6041"/>
    <w:rsid w:val="00CB352C"/>
    <w:rsid w:val="00CB6065"/>
    <w:rsid w:val="00CC0179"/>
    <w:rsid w:val="00CC07E7"/>
    <w:rsid w:val="00CC3DBB"/>
    <w:rsid w:val="00CC568B"/>
    <w:rsid w:val="00CE577D"/>
    <w:rsid w:val="00CF2CFA"/>
    <w:rsid w:val="00CF742D"/>
    <w:rsid w:val="00D03444"/>
    <w:rsid w:val="00D04378"/>
    <w:rsid w:val="00D0795B"/>
    <w:rsid w:val="00D14427"/>
    <w:rsid w:val="00D15040"/>
    <w:rsid w:val="00D165CD"/>
    <w:rsid w:val="00D17B9F"/>
    <w:rsid w:val="00D285E9"/>
    <w:rsid w:val="00D3083D"/>
    <w:rsid w:val="00D31AF0"/>
    <w:rsid w:val="00D35783"/>
    <w:rsid w:val="00D4189E"/>
    <w:rsid w:val="00D54A20"/>
    <w:rsid w:val="00D5634C"/>
    <w:rsid w:val="00D709BE"/>
    <w:rsid w:val="00D801C9"/>
    <w:rsid w:val="00D805F5"/>
    <w:rsid w:val="00D816E7"/>
    <w:rsid w:val="00D85D40"/>
    <w:rsid w:val="00DA4572"/>
    <w:rsid w:val="00DA5F2F"/>
    <w:rsid w:val="00DA72DE"/>
    <w:rsid w:val="00DB0F4A"/>
    <w:rsid w:val="00DB412A"/>
    <w:rsid w:val="00DC08BB"/>
    <w:rsid w:val="00DD0480"/>
    <w:rsid w:val="00DE0287"/>
    <w:rsid w:val="00DF6C7E"/>
    <w:rsid w:val="00E01808"/>
    <w:rsid w:val="00E0502C"/>
    <w:rsid w:val="00E10C80"/>
    <w:rsid w:val="00E20A93"/>
    <w:rsid w:val="00E21F98"/>
    <w:rsid w:val="00E305F4"/>
    <w:rsid w:val="00E30988"/>
    <w:rsid w:val="00E3332C"/>
    <w:rsid w:val="00E35855"/>
    <w:rsid w:val="00E412A2"/>
    <w:rsid w:val="00E4265E"/>
    <w:rsid w:val="00E63429"/>
    <w:rsid w:val="00E665EF"/>
    <w:rsid w:val="00E66A55"/>
    <w:rsid w:val="00E778D1"/>
    <w:rsid w:val="00E80792"/>
    <w:rsid w:val="00E934F5"/>
    <w:rsid w:val="00EA59D3"/>
    <w:rsid w:val="00EB6CBA"/>
    <w:rsid w:val="00EB7845"/>
    <w:rsid w:val="00ED2F31"/>
    <w:rsid w:val="00ED6A63"/>
    <w:rsid w:val="00EE0507"/>
    <w:rsid w:val="00EE7B06"/>
    <w:rsid w:val="00F00805"/>
    <w:rsid w:val="00F04192"/>
    <w:rsid w:val="00F2449F"/>
    <w:rsid w:val="00F26588"/>
    <w:rsid w:val="00F27E55"/>
    <w:rsid w:val="00F301E2"/>
    <w:rsid w:val="00F32737"/>
    <w:rsid w:val="00F516D4"/>
    <w:rsid w:val="00F571E4"/>
    <w:rsid w:val="00F64932"/>
    <w:rsid w:val="00F65EBD"/>
    <w:rsid w:val="00F7425B"/>
    <w:rsid w:val="00F776CE"/>
    <w:rsid w:val="00F90109"/>
    <w:rsid w:val="00F9537D"/>
    <w:rsid w:val="00FA4190"/>
    <w:rsid w:val="00FA5489"/>
    <w:rsid w:val="00FA67AE"/>
    <w:rsid w:val="00FC0237"/>
    <w:rsid w:val="00FD10B5"/>
    <w:rsid w:val="00FD27D0"/>
    <w:rsid w:val="00FD2B2E"/>
    <w:rsid w:val="00FD780A"/>
    <w:rsid w:val="00FE3E97"/>
    <w:rsid w:val="00FE43BE"/>
    <w:rsid w:val="00FE53C0"/>
    <w:rsid w:val="00FE5907"/>
    <w:rsid w:val="00FF0D4F"/>
    <w:rsid w:val="00FF77B4"/>
    <w:rsid w:val="03028C5F"/>
    <w:rsid w:val="039EA841"/>
    <w:rsid w:val="05871933"/>
    <w:rsid w:val="063E209A"/>
    <w:rsid w:val="0652ED7E"/>
    <w:rsid w:val="06DA795F"/>
    <w:rsid w:val="08F394AE"/>
    <w:rsid w:val="0A943801"/>
    <w:rsid w:val="0B0254A6"/>
    <w:rsid w:val="0CA11CBB"/>
    <w:rsid w:val="0CEAB69E"/>
    <w:rsid w:val="0D834BEA"/>
    <w:rsid w:val="0FD18471"/>
    <w:rsid w:val="13E5A6F4"/>
    <w:rsid w:val="18B8C483"/>
    <w:rsid w:val="195AA1FC"/>
    <w:rsid w:val="1A3729DC"/>
    <w:rsid w:val="1C3FEBE8"/>
    <w:rsid w:val="1CC3B2A8"/>
    <w:rsid w:val="1D045012"/>
    <w:rsid w:val="26877438"/>
    <w:rsid w:val="27F68007"/>
    <w:rsid w:val="28B4B737"/>
    <w:rsid w:val="2A496DD3"/>
    <w:rsid w:val="2CA872B8"/>
    <w:rsid w:val="2CF43D6D"/>
    <w:rsid w:val="2DCEEC6C"/>
    <w:rsid w:val="2FF4FA7C"/>
    <w:rsid w:val="30265D40"/>
    <w:rsid w:val="32CD1A36"/>
    <w:rsid w:val="337B462C"/>
    <w:rsid w:val="34F8F3A4"/>
    <w:rsid w:val="38C284B7"/>
    <w:rsid w:val="3AA3EE5A"/>
    <w:rsid w:val="3FF48505"/>
    <w:rsid w:val="41C40BF9"/>
    <w:rsid w:val="44302A3A"/>
    <w:rsid w:val="44959EF3"/>
    <w:rsid w:val="46EF0067"/>
    <w:rsid w:val="4857C96B"/>
    <w:rsid w:val="49827E59"/>
    <w:rsid w:val="4C54C1AD"/>
    <w:rsid w:val="50DAFA33"/>
    <w:rsid w:val="51941588"/>
    <w:rsid w:val="52858238"/>
    <w:rsid w:val="5337A4BB"/>
    <w:rsid w:val="53B514E5"/>
    <w:rsid w:val="53CD6306"/>
    <w:rsid w:val="53F63F99"/>
    <w:rsid w:val="55816557"/>
    <w:rsid w:val="55E34C33"/>
    <w:rsid w:val="57474EB7"/>
    <w:rsid w:val="5B6ED08C"/>
    <w:rsid w:val="5F6C26D3"/>
    <w:rsid w:val="5FE85D89"/>
    <w:rsid w:val="625C7580"/>
    <w:rsid w:val="640ACDB1"/>
    <w:rsid w:val="66399ADF"/>
    <w:rsid w:val="679F11B3"/>
    <w:rsid w:val="6A47764D"/>
    <w:rsid w:val="70DAA7B3"/>
    <w:rsid w:val="71FC47E4"/>
    <w:rsid w:val="732CAF96"/>
    <w:rsid w:val="73CB4A37"/>
    <w:rsid w:val="74341598"/>
    <w:rsid w:val="787524CD"/>
    <w:rsid w:val="7A91DDCA"/>
    <w:rsid w:val="7AC14C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2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1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07"/>
  </w:style>
  <w:style w:type="paragraph" w:styleId="Footer">
    <w:name w:val="footer"/>
    <w:basedOn w:val="Normal"/>
    <w:link w:val="FooterChar"/>
    <w:uiPriority w:val="99"/>
    <w:unhideWhenUsed/>
    <w:rsid w:val="0041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07"/>
  </w:style>
  <w:style w:type="paragraph" w:styleId="ListParagraph">
    <w:name w:val="List Paragraph"/>
    <w:basedOn w:val="Normal"/>
    <w:link w:val="ListParagraphChar"/>
    <w:uiPriority w:val="34"/>
    <w:qFormat/>
    <w:rsid w:val="00AE4742"/>
    <w:pPr>
      <w:ind w:left="720"/>
      <w:contextualSpacing/>
    </w:pPr>
  </w:style>
  <w:style w:type="paragraph" w:styleId="NormalWeb">
    <w:name w:val="Normal (Web)"/>
    <w:basedOn w:val="Normal"/>
    <w:uiPriority w:val="99"/>
    <w:semiHidden/>
    <w:unhideWhenUsed/>
    <w:rsid w:val="00D40B8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04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153"/>
    <w:rPr>
      <w:sz w:val="20"/>
      <w:szCs w:val="20"/>
    </w:rPr>
  </w:style>
  <w:style w:type="character" w:styleId="FootnoteReference">
    <w:name w:val="footnote reference"/>
    <w:basedOn w:val="DefaultParagraphFont"/>
    <w:uiPriority w:val="99"/>
    <w:semiHidden/>
    <w:unhideWhenUsed/>
    <w:rsid w:val="00804153"/>
    <w:rPr>
      <w:vertAlign w:val="superscript"/>
    </w:rPr>
  </w:style>
  <w:style w:type="character" w:styleId="Hyperlink">
    <w:name w:val="Hyperlink"/>
    <w:basedOn w:val="DefaultParagraphFont"/>
    <w:uiPriority w:val="99"/>
    <w:semiHidden/>
    <w:unhideWhenUsed/>
    <w:rsid w:val="00804153"/>
    <w:rPr>
      <w:color w:val="0000FF"/>
      <w:u w:val="single"/>
    </w:rPr>
  </w:style>
  <w:style w:type="character" w:customStyle="1" w:styleId="Heading1Char">
    <w:name w:val="Heading 1 Char"/>
    <w:basedOn w:val="DefaultParagraphFont"/>
    <w:link w:val="Heading1"/>
    <w:uiPriority w:val="9"/>
    <w:rsid w:val="00032FD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9B"/>
    <w:rPr>
      <w:rFonts w:ascii="Tahoma" w:hAnsi="Tahoma" w:cs="Tahoma"/>
      <w:sz w:val="16"/>
      <w:szCs w:val="16"/>
    </w:rPr>
  </w:style>
  <w:style w:type="paragraph" w:customStyle="1" w:styleId="gmail-msolistparagraph">
    <w:name w:val="gmail-msolistparagraph"/>
    <w:basedOn w:val="Normal"/>
    <w:rsid w:val="000B1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CNormalChar">
    <w:name w:val="ETC Normal Char"/>
    <w:basedOn w:val="DefaultParagraphFont"/>
    <w:link w:val="ETCNormal"/>
    <w:locked/>
    <w:rsid w:val="00425C95"/>
    <w:rPr>
      <w:rFonts w:ascii="Cambria" w:eastAsiaTheme="majorEastAsia" w:hAnsi="Cambria" w:cstheme="majorBidi"/>
      <w:bCs/>
      <w:szCs w:val="28"/>
    </w:rPr>
  </w:style>
  <w:style w:type="paragraph" w:customStyle="1" w:styleId="ETCNormal">
    <w:name w:val="ETC Normal"/>
    <w:link w:val="ETCNormalChar"/>
    <w:qFormat/>
    <w:rsid w:val="00425C95"/>
    <w:pPr>
      <w:spacing w:after="120" w:line="240" w:lineRule="auto"/>
      <w:jc w:val="both"/>
    </w:pPr>
    <w:rPr>
      <w:rFonts w:ascii="Cambria" w:eastAsiaTheme="majorEastAsia" w:hAnsi="Cambria" w:cstheme="majorBidi"/>
      <w:bCs/>
      <w:szCs w:val="28"/>
    </w:rPr>
  </w:style>
  <w:style w:type="character" w:customStyle="1" w:styleId="ListParagraphChar">
    <w:name w:val="List Paragraph Char"/>
    <w:basedOn w:val="DefaultParagraphFont"/>
    <w:link w:val="ListParagraph"/>
    <w:uiPriority w:val="34"/>
    <w:locked/>
    <w:rsid w:val="00475BA2"/>
  </w:style>
  <w:style w:type="character" w:styleId="CommentReference">
    <w:name w:val="annotation reference"/>
    <w:basedOn w:val="DefaultParagraphFont"/>
    <w:uiPriority w:val="99"/>
    <w:semiHidden/>
    <w:unhideWhenUsed/>
    <w:rsid w:val="00712810"/>
    <w:rPr>
      <w:sz w:val="16"/>
      <w:szCs w:val="16"/>
    </w:rPr>
  </w:style>
  <w:style w:type="paragraph" w:styleId="CommentText">
    <w:name w:val="annotation text"/>
    <w:basedOn w:val="Normal"/>
    <w:link w:val="CommentTextChar"/>
    <w:uiPriority w:val="99"/>
    <w:semiHidden/>
    <w:unhideWhenUsed/>
    <w:rsid w:val="00712810"/>
    <w:pPr>
      <w:spacing w:line="240" w:lineRule="auto"/>
    </w:pPr>
    <w:rPr>
      <w:sz w:val="20"/>
      <w:szCs w:val="20"/>
    </w:rPr>
  </w:style>
  <w:style w:type="character" w:customStyle="1" w:styleId="CommentTextChar">
    <w:name w:val="Comment Text Char"/>
    <w:basedOn w:val="DefaultParagraphFont"/>
    <w:link w:val="CommentText"/>
    <w:uiPriority w:val="99"/>
    <w:semiHidden/>
    <w:rsid w:val="00712810"/>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172047"/>
    <w:rPr>
      <w:b/>
      <w:bCs/>
    </w:rPr>
  </w:style>
  <w:style w:type="character" w:customStyle="1" w:styleId="CommentSubjectChar">
    <w:name w:val="Comment Subject Char"/>
    <w:basedOn w:val="CommentTextChar"/>
    <w:link w:val="CommentSubject"/>
    <w:uiPriority w:val="99"/>
    <w:semiHidden/>
    <w:rsid w:val="00172047"/>
    <w:rPr>
      <w:b/>
      <w:bCs/>
      <w:sz w:val="20"/>
      <w:szCs w:val="20"/>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B14560"/>
    <w:rPr>
      <w:color w:val="605E5C"/>
      <w:shd w:val="clear" w:color="auto" w:fill="E1DFDD"/>
    </w:rPr>
  </w:style>
  <w:style w:type="paragraph" w:styleId="Revision">
    <w:name w:val="Revision"/>
    <w:hidden/>
    <w:uiPriority w:val="99"/>
    <w:semiHidden/>
    <w:rsid w:val="003A50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2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1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07"/>
  </w:style>
  <w:style w:type="paragraph" w:styleId="Footer">
    <w:name w:val="footer"/>
    <w:basedOn w:val="Normal"/>
    <w:link w:val="FooterChar"/>
    <w:uiPriority w:val="99"/>
    <w:unhideWhenUsed/>
    <w:rsid w:val="0041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07"/>
  </w:style>
  <w:style w:type="paragraph" w:styleId="ListParagraph">
    <w:name w:val="List Paragraph"/>
    <w:basedOn w:val="Normal"/>
    <w:link w:val="ListParagraphChar"/>
    <w:uiPriority w:val="34"/>
    <w:qFormat/>
    <w:rsid w:val="00AE4742"/>
    <w:pPr>
      <w:ind w:left="720"/>
      <w:contextualSpacing/>
    </w:pPr>
  </w:style>
  <w:style w:type="paragraph" w:styleId="NormalWeb">
    <w:name w:val="Normal (Web)"/>
    <w:basedOn w:val="Normal"/>
    <w:uiPriority w:val="99"/>
    <w:semiHidden/>
    <w:unhideWhenUsed/>
    <w:rsid w:val="00D40B8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04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153"/>
    <w:rPr>
      <w:sz w:val="20"/>
      <w:szCs w:val="20"/>
    </w:rPr>
  </w:style>
  <w:style w:type="character" w:styleId="FootnoteReference">
    <w:name w:val="footnote reference"/>
    <w:basedOn w:val="DefaultParagraphFont"/>
    <w:uiPriority w:val="99"/>
    <w:semiHidden/>
    <w:unhideWhenUsed/>
    <w:rsid w:val="00804153"/>
    <w:rPr>
      <w:vertAlign w:val="superscript"/>
    </w:rPr>
  </w:style>
  <w:style w:type="character" w:styleId="Hyperlink">
    <w:name w:val="Hyperlink"/>
    <w:basedOn w:val="DefaultParagraphFont"/>
    <w:uiPriority w:val="99"/>
    <w:semiHidden/>
    <w:unhideWhenUsed/>
    <w:rsid w:val="00804153"/>
    <w:rPr>
      <w:color w:val="0000FF"/>
      <w:u w:val="single"/>
    </w:rPr>
  </w:style>
  <w:style w:type="character" w:customStyle="1" w:styleId="Heading1Char">
    <w:name w:val="Heading 1 Char"/>
    <w:basedOn w:val="DefaultParagraphFont"/>
    <w:link w:val="Heading1"/>
    <w:uiPriority w:val="9"/>
    <w:rsid w:val="00032FD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9B"/>
    <w:rPr>
      <w:rFonts w:ascii="Tahoma" w:hAnsi="Tahoma" w:cs="Tahoma"/>
      <w:sz w:val="16"/>
      <w:szCs w:val="16"/>
    </w:rPr>
  </w:style>
  <w:style w:type="paragraph" w:customStyle="1" w:styleId="gmail-msolistparagraph">
    <w:name w:val="gmail-msolistparagraph"/>
    <w:basedOn w:val="Normal"/>
    <w:rsid w:val="000B1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CNormalChar">
    <w:name w:val="ETC Normal Char"/>
    <w:basedOn w:val="DefaultParagraphFont"/>
    <w:link w:val="ETCNormal"/>
    <w:locked/>
    <w:rsid w:val="00425C95"/>
    <w:rPr>
      <w:rFonts w:ascii="Cambria" w:eastAsiaTheme="majorEastAsia" w:hAnsi="Cambria" w:cstheme="majorBidi"/>
      <w:bCs/>
      <w:szCs w:val="28"/>
    </w:rPr>
  </w:style>
  <w:style w:type="paragraph" w:customStyle="1" w:styleId="ETCNormal">
    <w:name w:val="ETC Normal"/>
    <w:link w:val="ETCNormalChar"/>
    <w:qFormat/>
    <w:rsid w:val="00425C95"/>
    <w:pPr>
      <w:spacing w:after="120" w:line="240" w:lineRule="auto"/>
      <w:jc w:val="both"/>
    </w:pPr>
    <w:rPr>
      <w:rFonts w:ascii="Cambria" w:eastAsiaTheme="majorEastAsia" w:hAnsi="Cambria" w:cstheme="majorBidi"/>
      <w:bCs/>
      <w:szCs w:val="28"/>
    </w:rPr>
  </w:style>
  <w:style w:type="character" w:customStyle="1" w:styleId="ListParagraphChar">
    <w:name w:val="List Paragraph Char"/>
    <w:basedOn w:val="DefaultParagraphFont"/>
    <w:link w:val="ListParagraph"/>
    <w:uiPriority w:val="34"/>
    <w:locked/>
    <w:rsid w:val="00475BA2"/>
  </w:style>
  <w:style w:type="character" w:styleId="CommentReference">
    <w:name w:val="annotation reference"/>
    <w:basedOn w:val="DefaultParagraphFont"/>
    <w:uiPriority w:val="99"/>
    <w:semiHidden/>
    <w:unhideWhenUsed/>
    <w:rsid w:val="00712810"/>
    <w:rPr>
      <w:sz w:val="16"/>
      <w:szCs w:val="16"/>
    </w:rPr>
  </w:style>
  <w:style w:type="paragraph" w:styleId="CommentText">
    <w:name w:val="annotation text"/>
    <w:basedOn w:val="Normal"/>
    <w:link w:val="CommentTextChar"/>
    <w:uiPriority w:val="99"/>
    <w:semiHidden/>
    <w:unhideWhenUsed/>
    <w:rsid w:val="00712810"/>
    <w:pPr>
      <w:spacing w:line="240" w:lineRule="auto"/>
    </w:pPr>
    <w:rPr>
      <w:sz w:val="20"/>
      <w:szCs w:val="20"/>
    </w:rPr>
  </w:style>
  <w:style w:type="character" w:customStyle="1" w:styleId="CommentTextChar">
    <w:name w:val="Comment Text Char"/>
    <w:basedOn w:val="DefaultParagraphFont"/>
    <w:link w:val="CommentText"/>
    <w:uiPriority w:val="99"/>
    <w:semiHidden/>
    <w:rsid w:val="00712810"/>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172047"/>
    <w:rPr>
      <w:b/>
      <w:bCs/>
    </w:rPr>
  </w:style>
  <w:style w:type="character" w:customStyle="1" w:styleId="CommentSubjectChar">
    <w:name w:val="Comment Subject Char"/>
    <w:basedOn w:val="CommentTextChar"/>
    <w:link w:val="CommentSubject"/>
    <w:uiPriority w:val="99"/>
    <w:semiHidden/>
    <w:rsid w:val="00172047"/>
    <w:rPr>
      <w:b/>
      <w:bCs/>
      <w:sz w:val="20"/>
      <w:szCs w:val="20"/>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unhideWhenUsed/>
    <w:rsid w:val="00B14560"/>
    <w:rPr>
      <w:color w:val="605E5C"/>
      <w:shd w:val="clear" w:color="auto" w:fill="E1DFDD"/>
    </w:rPr>
  </w:style>
  <w:style w:type="paragraph" w:styleId="Revision">
    <w:name w:val="Revision"/>
    <w:hidden/>
    <w:uiPriority w:val="99"/>
    <w:semiHidden/>
    <w:rsid w:val="003A5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27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store.ansi.org/Standards/ASHRAE/ASHRAEGuideline2019SPANISH?gclid=EAIaIQobChMI0OeF_JvU5gIVmB6tBh2WygJMEAAYASAAEgLtu_D_BwE" TargetMode="External"/><Relationship Id="rId2" Type="http://schemas.openxmlformats.org/officeDocument/2006/relationships/hyperlink" Target="https://www.bcxa.org/wp-content/uploads/2016/03/BCxA.NCCx-BestPractices_031616.pdf" TargetMode="External"/><Relationship Id="rId1" Type="http://schemas.openxmlformats.org/officeDocument/2006/relationships/hyperlink" Target="https://www.wbdg.org/resources/life-cycle-cost-analysis-lcca" TargetMode="External"/><Relationship Id="rId4" Type="http://schemas.openxmlformats.org/officeDocument/2006/relationships/hyperlink" Target="https://www.techstreet.com/ashrae/standards/ashrae-202-2018?product_id=2025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sXsmwxsu1P9DmvrHBL13GzDVQ==">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</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31E1B21449343B773AA5BA2106397" ma:contentTypeVersion="5" ma:contentTypeDescription="Create a new document." ma:contentTypeScope="" ma:versionID="71d69a50d11d3829f26ad3e3ed25bc8b">
  <xsd:schema xmlns:xsd="http://www.w3.org/2001/XMLSchema" xmlns:xs="http://www.w3.org/2001/XMLSchema" xmlns:p="http://schemas.microsoft.com/office/2006/metadata/properties" xmlns:ns2="9e3c06e8-bda2-40c8-9546-ba14b8063f1f" targetNamespace="http://schemas.microsoft.com/office/2006/metadata/properties" ma:root="true" ma:fieldsID="f1ae1e6b9da2587c8569fa647d2fba75" ns2:_="">
    <xsd:import namespace="9e3c06e8-bda2-40c8-9546-ba14b8063f1f"/>
    <xsd:element name="properties">
      <xsd:complexType>
        <xsd:sequence>
          <xsd:element name="documentManagement">
            <xsd:complexType>
              <xsd:all>
                <xsd:element ref="ns2:Description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06e8-bda2-40c8-9546-ba14b8063f1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9e3c06e8-bda2-40c8-9546-ba14b8063f1f">ETC Comments</Description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7D2A02-E67A-41F7-A92D-2593F15DA10B}">
  <ds:schemaRefs>
    <ds:schemaRef ds:uri="http://schemas.microsoft.com/sharepoint/v3/contenttype/forms"/>
  </ds:schemaRefs>
</ds:datastoreItem>
</file>

<file path=customXml/itemProps3.xml><?xml version="1.0" encoding="utf-8"?>
<ds:datastoreItem xmlns:ds="http://schemas.openxmlformats.org/officeDocument/2006/customXml" ds:itemID="{544052D6-8265-40D9-8C5B-344D34CC9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c06e8-bda2-40c8-9546-ba14b806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3B14C-B583-4CA6-8981-9D7FC8183AE4}">
  <ds:schemaRefs>
    <ds:schemaRef ds:uri="http://schemas.microsoft.com/office/2006/metadata/properties"/>
    <ds:schemaRef ds:uri="http://schemas.microsoft.com/office/infopath/2007/PartnerControls"/>
    <ds:schemaRef ds:uri="9e3c06e8-bda2-40c8-9546-ba14b8063f1f"/>
  </ds:schemaRefs>
</ds:datastoreItem>
</file>

<file path=customXml/itemProps5.xml><?xml version="1.0" encoding="utf-8"?>
<ds:datastoreItem xmlns:ds="http://schemas.openxmlformats.org/officeDocument/2006/customXml" ds:itemID="{8822FC8C-543C-4E5A-923E-3AF688A8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6823</CharactersWithSpaces>
  <SharedDoc>false</SharedDoc>
  <HLinks>
    <vt:vector size="90" baseType="variant">
      <vt:variant>
        <vt:i4>6619189</vt:i4>
      </vt:variant>
      <vt:variant>
        <vt:i4>27</vt:i4>
      </vt:variant>
      <vt:variant>
        <vt:i4>0</vt:i4>
      </vt:variant>
      <vt:variant>
        <vt:i4>5</vt:i4>
      </vt:variant>
      <vt:variant>
        <vt:lpwstr>https://v2.wellcertified.com/v/en/overview</vt:lpwstr>
      </vt:variant>
      <vt:variant>
        <vt:lpwstr/>
      </vt:variant>
      <vt:variant>
        <vt:i4>7733360</vt:i4>
      </vt:variant>
      <vt:variant>
        <vt:i4>24</vt:i4>
      </vt:variant>
      <vt:variant>
        <vt:i4>0</vt:i4>
      </vt:variant>
      <vt:variant>
        <vt:i4>5</vt:i4>
      </vt:variant>
      <vt:variant>
        <vt:lpwstr>https://rules.utah.gov/publicat/code/r307/r307-304.htm</vt:lpwstr>
      </vt:variant>
      <vt:variant>
        <vt:lpwstr/>
      </vt:variant>
      <vt:variant>
        <vt:i4>7340148</vt:i4>
      </vt:variant>
      <vt:variant>
        <vt:i4>21</vt:i4>
      </vt:variant>
      <vt:variant>
        <vt:i4>0</vt:i4>
      </vt:variant>
      <vt:variant>
        <vt:i4>5</vt:i4>
      </vt:variant>
      <vt:variant>
        <vt:lpwstr>https://rules.utah.gov/publicat/code/r307/r307-342.htm</vt:lpwstr>
      </vt:variant>
      <vt:variant>
        <vt:lpwstr/>
      </vt:variant>
      <vt:variant>
        <vt:i4>7536758</vt:i4>
      </vt:variant>
      <vt:variant>
        <vt:i4>18</vt:i4>
      </vt:variant>
      <vt:variant>
        <vt:i4>0</vt:i4>
      </vt:variant>
      <vt:variant>
        <vt:i4>5</vt:i4>
      </vt:variant>
      <vt:variant>
        <vt:lpwstr>https://rules.utah.gov/publicat/code/r307/r307-361.htm</vt:lpwstr>
      </vt:variant>
      <vt:variant>
        <vt:lpwstr/>
      </vt:variant>
      <vt:variant>
        <vt:i4>4522049</vt:i4>
      </vt:variant>
      <vt:variant>
        <vt:i4>15</vt:i4>
      </vt:variant>
      <vt:variant>
        <vt:i4>0</vt:i4>
      </vt:variant>
      <vt:variant>
        <vt:i4>5</vt:i4>
      </vt:variant>
      <vt:variant>
        <vt:lpwstr>https://www.usgbc.org/resources/examples-regularly-occupied-spaces-include-following</vt:lpwstr>
      </vt:variant>
      <vt:variant>
        <vt:lpwstr/>
      </vt:variant>
      <vt:variant>
        <vt:i4>6357098</vt:i4>
      </vt:variant>
      <vt:variant>
        <vt:i4>12</vt:i4>
      </vt:variant>
      <vt:variant>
        <vt:i4>0</vt:i4>
      </vt:variant>
      <vt:variant>
        <vt:i4>5</vt:i4>
      </vt:variant>
      <vt:variant>
        <vt:lpwstr>https://www.usgbc.org/node/2614245?return=/credits/new-construction/v4/indoor-environmental-quality</vt:lpwstr>
      </vt:variant>
      <vt:variant>
        <vt:lpwstr/>
      </vt:variant>
      <vt:variant>
        <vt:i4>2228260</vt:i4>
      </vt:variant>
      <vt:variant>
        <vt:i4>9</vt:i4>
      </vt:variant>
      <vt:variant>
        <vt:i4>0</vt:i4>
      </vt:variant>
      <vt:variant>
        <vt:i4>5</vt:i4>
      </vt:variant>
      <vt:variant>
        <vt:lpwstr>https://www.energystar.gov/products?s=mega</vt:lpwstr>
      </vt:variant>
      <vt:variant>
        <vt:lpwstr/>
      </vt:variant>
      <vt:variant>
        <vt:i4>7471153</vt:i4>
      </vt:variant>
      <vt:variant>
        <vt:i4>6</vt:i4>
      </vt:variant>
      <vt:variant>
        <vt:i4>0</vt:i4>
      </vt:variant>
      <vt:variant>
        <vt:i4>5</vt:i4>
      </vt:variant>
      <vt:variant>
        <vt:lpwstr>https://dfcm.utah.gov/wp-content/uploads/AE-Fee-Schedule-12-12-2017.pdf</vt:lpwstr>
      </vt:variant>
      <vt:variant>
        <vt:lpwstr/>
      </vt:variant>
      <vt:variant>
        <vt:i4>1441865</vt:i4>
      </vt:variant>
      <vt:variant>
        <vt:i4>3</vt:i4>
      </vt:variant>
      <vt:variant>
        <vt:i4>0</vt:i4>
      </vt:variant>
      <vt:variant>
        <vt:i4>5</vt:i4>
      </vt:variant>
      <vt:variant>
        <vt:lpwstr>https://www.epa.gov/watersense/water-budget-tool</vt:lpwstr>
      </vt:variant>
      <vt:variant>
        <vt:lpwstr/>
      </vt:variant>
      <vt:variant>
        <vt:i4>6160384</vt:i4>
      </vt:variant>
      <vt:variant>
        <vt:i4>0</vt:i4>
      </vt:variant>
      <vt:variant>
        <vt:i4>0</vt:i4>
      </vt:variant>
      <vt:variant>
        <vt:i4>5</vt:i4>
      </vt:variant>
      <vt:variant>
        <vt:lpwstr>https://www.usgbc.org/articles/green-building-101-what-integrated-process</vt:lpwstr>
      </vt:variant>
      <vt:variant>
        <vt:lpwstr/>
      </vt:variant>
      <vt:variant>
        <vt:i4>1704011</vt:i4>
      </vt:variant>
      <vt:variant>
        <vt:i4>0</vt:i4>
      </vt:variant>
      <vt:variant>
        <vt:i4>0</vt:i4>
      </vt:variant>
      <vt:variant>
        <vt:i4>5</vt:i4>
      </vt:variant>
      <vt:variant>
        <vt:lpwstr>https://www.wbdg.org/resources/life-cycle-cost-analysis-lcca</vt:lpwstr>
      </vt:variant>
      <vt:variant>
        <vt:lpwstr/>
      </vt:variant>
      <vt:variant>
        <vt:i4>5308514</vt:i4>
      </vt:variant>
      <vt:variant>
        <vt:i4>9</vt:i4>
      </vt:variant>
      <vt:variant>
        <vt:i4>0</vt:i4>
      </vt:variant>
      <vt:variant>
        <vt:i4>5</vt:i4>
      </vt:variant>
      <vt:variant>
        <vt:lpwstr>mailto:vvanoostenbrugge@etcgrp.com</vt:lpwstr>
      </vt:variant>
      <vt:variant>
        <vt:lpwstr/>
      </vt:variant>
      <vt:variant>
        <vt:i4>2490399</vt:i4>
      </vt:variant>
      <vt:variant>
        <vt:i4>6</vt:i4>
      </vt:variant>
      <vt:variant>
        <vt:i4>0</vt:i4>
      </vt:variant>
      <vt:variant>
        <vt:i4>5</vt:i4>
      </vt:variant>
      <vt:variant>
        <vt:lpwstr>mailto:gregs@etcgrp.com</vt:lpwstr>
      </vt:variant>
      <vt:variant>
        <vt:lpwstr/>
      </vt:variant>
      <vt:variant>
        <vt:i4>5308514</vt:i4>
      </vt:variant>
      <vt:variant>
        <vt:i4>3</vt:i4>
      </vt:variant>
      <vt:variant>
        <vt:i4>0</vt:i4>
      </vt:variant>
      <vt:variant>
        <vt:i4>5</vt:i4>
      </vt:variant>
      <vt:variant>
        <vt:lpwstr>mailto:vvanoostenbrugge@etcgrp.com</vt:lpwstr>
      </vt:variant>
      <vt:variant>
        <vt:lpwstr/>
      </vt:variant>
      <vt:variant>
        <vt:i4>5308514</vt:i4>
      </vt:variant>
      <vt:variant>
        <vt:i4>0</vt:i4>
      </vt:variant>
      <vt:variant>
        <vt:i4>0</vt:i4>
      </vt:variant>
      <vt:variant>
        <vt:i4>5</vt:i4>
      </vt:variant>
      <vt:variant>
        <vt:lpwstr>mailto:vvanoostenbrugge@etcgrp.com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Ward</dc:creator>
  <cp:lastModifiedBy>Sarah Boll</cp:lastModifiedBy>
  <cp:revision>2</cp:revision>
  <cp:lastPrinted>2019-08-26T18:53:00Z</cp:lastPrinted>
  <dcterms:created xsi:type="dcterms:W3CDTF">2020-06-03T15:49:00Z</dcterms:created>
  <dcterms:modified xsi:type="dcterms:W3CDTF">2020-06-03T15:49:00Z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0x01010087C31E1B21449343B773AA5BA2106397</vt:lpwstr>
  </property>
</Properties>
</file>